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BD359" w14:textId="1BF6AC2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E6DBF">
        <w:t>3</w:t>
      </w:r>
      <w:r w:rsidR="00F20F5C">
        <w:t>e</w:t>
      </w:r>
      <w:r w:rsidRPr="00CE0424">
        <w:tab/>
      </w:r>
      <w:r w:rsidR="00B75BE3" w:rsidRPr="00B75BE3">
        <w:rPr>
          <w:sz w:val="32"/>
          <w:szCs w:val="32"/>
        </w:rPr>
        <w:t>R2-2101393</w:t>
      </w:r>
    </w:p>
    <w:p w14:paraId="0877E99B" w14:textId="2780AB72" w:rsidR="00E90E49" w:rsidRPr="00CE0424" w:rsidRDefault="00C268E6" w:rsidP="00311702">
      <w:pPr>
        <w:pStyle w:val="3GPPHeader"/>
      </w:pPr>
      <w:r>
        <w:t xml:space="preserve">Electronic meeting, </w:t>
      </w:r>
      <w:r w:rsidR="007E6DBF">
        <w:t>Jan</w:t>
      </w:r>
      <w:r>
        <w:t xml:space="preserve"> </w:t>
      </w:r>
      <w:r w:rsidR="00CA5D4C">
        <w:t>2</w:t>
      </w:r>
      <w:r w:rsidR="007E6DBF">
        <w:t>5</w:t>
      </w:r>
      <w:r w:rsidR="007E6DBF" w:rsidRPr="007E6DBF">
        <w:rPr>
          <w:vertAlign w:val="superscript"/>
        </w:rPr>
        <w:t>th</w:t>
      </w:r>
      <w:r w:rsidR="007E6DBF">
        <w:t xml:space="preserve"> </w:t>
      </w:r>
      <w:r>
        <w:t xml:space="preserve">– </w:t>
      </w:r>
      <w:r w:rsidR="007E6DBF">
        <w:t>5</w:t>
      </w:r>
      <w:r w:rsidRPr="00C268E6">
        <w:rPr>
          <w:vertAlign w:val="superscript"/>
        </w:rPr>
        <w:t>th</w:t>
      </w:r>
      <w:r>
        <w:t xml:space="preserve"> </w:t>
      </w:r>
      <w:r w:rsidR="007E6DBF">
        <w:t xml:space="preserve">Feb </w:t>
      </w:r>
      <w:r>
        <w:t>202</w:t>
      </w:r>
      <w:r w:rsidR="007E6DBF">
        <w:t>1</w:t>
      </w:r>
    </w:p>
    <w:p w14:paraId="7B49A4D7" w14:textId="77777777" w:rsidR="00E90E49" w:rsidRPr="00CE0424" w:rsidRDefault="00E90E49" w:rsidP="00357380">
      <w:pPr>
        <w:pStyle w:val="3GPPHeader"/>
      </w:pPr>
    </w:p>
    <w:p w14:paraId="5345BB86" w14:textId="2D45C3AB" w:rsidR="00E90E49" w:rsidRPr="0071151B" w:rsidRDefault="00E90E49" w:rsidP="00311702">
      <w:pPr>
        <w:pStyle w:val="3GPPHeader"/>
        <w:rPr>
          <w:sz w:val="22"/>
          <w:szCs w:val="22"/>
          <w:lang w:val="sv-SE"/>
        </w:rPr>
      </w:pPr>
      <w:r w:rsidRPr="0071151B">
        <w:rPr>
          <w:sz w:val="22"/>
          <w:szCs w:val="22"/>
          <w:lang w:val="sv-SE"/>
        </w:rPr>
        <w:t>Agenda Item:</w:t>
      </w:r>
      <w:r w:rsidRPr="0071151B">
        <w:rPr>
          <w:sz w:val="22"/>
          <w:szCs w:val="22"/>
          <w:lang w:val="sv-SE"/>
        </w:rPr>
        <w:tab/>
      </w:r>
      <w:r w:rsidR="00785E73">
        <w:rPr>
          <w:sz w:val="22"/>
          <w:szCs w:val="22"/>
          <w:lang w:val="sv-SE"/>
        </w:rPr>
        <w:t>8.11.2</w:t>
      </w:r>
      <w:r w:rsidR="00FA15E8">
        <w:rPr>
          <w:sz w:val="22"/>
          <w:szCs w:val="22"/>
          <w:lang w:val="sv-SE"/>
        </w:rPr>
        <w:t>.2</w:t>
      </w:r>
    </w:p>
    <w:p w14:paraId="3537E16A" w14:textId="6A5FA2D8" w:rsidR="00E90E49" w:rsidRPr="00CE0424" w:rsidRDefault="003D3C45" w:rsidP="00F64C2B">
      <w:pPr>
        <w:pStyle w:val="3GPPHeader"/>
        <w:rPr>
          <w:sz w:val="22"/>
          <w:szCs w:val="22"/>
        </w:rPr>
      </w:pPr>
      <w:r>
        <w:rPr>
          <w:sz w:val="22"/>
          <w:szCs w:val="22"/>
        </w:rPr>
        <w:t>Source:</w:t>
      </w:r>
      <w:r w:rsidR="00E90E49" w:rsidRPr="00CE0424">
        <w:rPr>
          <w:sz w:val="22"/>
          <w:szCs w:val="22"/>
        </w:rPr>
        <w:tab/>
      </w:r>
      <w:r w:rsidR="00785E73">
        <w:rPr>
          <w:sz w:val="22"/>
          <w:szCs w:val="22"/>
        </w:rPr>
        <w:t>Ericsson</w:t>
      </w:r>
    </w:p>
    <w:p w14:paraId="3BCF8244" w14:textId="628FD233" w:rsidR="00E90E49" w:rsidRPr="00CE0424" w:rsidRDefault="003D3C45" w:rsidP="00311702">
      <w:pPr>
        <w:pStyle w:val="3GPPHeader"/>
        <w:rPr>
          <w:sz w:val="22"/>
          <w:szCs w:val="22"/>
        </w:rPr>
      </w:pPr>
      <w:r>
        <w:rPr>
          <w:sz w:val="22"/>
          <w:szCs w:val="22"/>
        </w:rPr>
        <w:t>Title:</w:t>
      </w:r>
      <w:bookmarkStart w:id="0" w:name="_GoBack"/>
      <w:bookmarkEnd w:id="0"/>
      <w:r w:rsidR="00E90E49" w:rsidRPr="00CE0424">
        <w:rPr>
          <w:sz w:val="22"/>
          <w:szCs w:val="22"/>
        </w:rPr>
        <w:tab/>
      </w:r>
      <w:r w:rsidR="00F31AE1">
        <w:rPr>
          <w:sz w:val="22"/>
          <w:szCs w:val="22"/>
        </w:rPr>
        <w:t>SDT, UL Positioning and On Demand PRS Aspects</w:t>
      </w:r>
    </w:p>
    <w:p w14:paraId="22C52D9E" w14:textId="77777777" w:rsidR="00E90E49" w:rsidRPr="00785E73" w:rsidRDefault="00E90E49" w:rsidP="00D546FF">
      <w:pPr>
        <w:pStyle w:val="3GPPHeader"/>
        <w:rPr>
          <w:sz w:val="22"/>
          <w:szCs w:val="22"/>
        </w:rPr>
      </w:pPr>
      <w:r w:rsidRPr="00CE0424">
        <w:rPr>
          <w:sz w:val="22"/>
          <w:szCs w:val="22"/>
        </w:rPr>
        <w:t>Document for:</w:t>
      </w:r>
      <w:r w:rsidRPr="00CE0424">
        <w:rPr>
          <w:sz w:val="22"/>
          <w:szCs w:val="22"/>
        </w:rPr>
        <w:tab/>
      </w:r>
      <w:r w:rsidRPr="00785E73">
        <w:rPr>
          <w:sz w:val="22"/>
          <w:szCs w:val="22"/>
        </w:rPr>
        <w:t>Discussion, Decision</w:t>
      </w:r>
    </w:p>
    <w:p w14:paraId="0173C1BF" w14:textId="77777777" w:rsidR="00E90E49" w:rsidRPr="00CE0424" w:rsidRDefault="00E90E49" w:rsidP="00E90E49"/>
    <w:p w14:paraId="50DC6A78" w14:textId="77777777" w:rsidR="00E90E49" w:rsidRPr="00CE0424" w:rsidRDefault="00230D18" w:rsidP="00CE0424">
      <w:pPr>
        <w:pStyle w:val="Heading1"/>
      </w:pPr>
      <w:r>
        <w:t>1</w:t>
      </w:r>
      <w:r>
        <w:tab/>
      </w:r>
      <w:r w:rsidR="00E90E49" w:rsidRPr="00CE0424">
        <w:t>Introduction</w:t>
      </w:r>
    </w:p>
    <w:p w14:paraId="32ED4C45" w14:textId="7DA5888F" w:rsidR="00477768" w:rsidRDefault="006D0A34" w:rsidP="00CE0424">
      <w:pPr>
        <w:pStyle w:val="BodyText"/>
      </w:pPr>
      <w:r>
        <w:t xml:space="preserve">In last meeting, RAN2 decided to focus the study in three areas: On demand PRS, latency and Idle/Inactive Positioning. The paper discusses </w:t>
      </w:r>
      <w:r w:rsidR="00F31AE1">
        <w:t>idle/Inactive Mode positioning and on demand PRS aspects</w:t>
      </w:r>
      <w:r>
        <w:t>.</w:t>
      </w:r>
    </w:p>
    <w:p w14:paraId="595800CA" w14:textId="77777777" w:rsidR="00F31AE1" w:rsidRPr="00CE0424" w:rsidRDefault="00F31AE1" w:rsidP="00CE0424">
      <w:pPr>
        <w:pStyle w:val="BodyText"/>
      </w:pPr>
    </w:p>
    <w:p w14:paraId="5493CDBB" w14:textId="07606926" w:rsidR="004000E8" w:rsidRPr="00CE0424" w:rsidRDefault="00230D18" w:rsidP="00CE0424">
      <w:pPr>
        <w:pStyle w:val="Heading1"/>
      </w:pPr>
      <w:bookmarkStart w:id="1" w:name="_Ref178064866"/>
      <w:r>
        <w:t>2</w:t>
      </w:r>
      <w:r>
        <w:tab/>
      </w:r>
      <w:bookmarkEnd w:id="1"/>
      <w:r w:rsidR="00F31AE1">
        <w:t>Discussions</w:t>
      </w:r>
    </w:p>
    <w:p w14:paraId="290F503A" w14:textId="5CBF66E1" w:rsidR="00F63950" w:rsidRDefault="00230D18" w:rsidP="00F63950">
      <w:pPr>
        <w:pStyle w:val="Heading2"/>
      </w:pPr>
      <w:r>
        <w:t>2.</w:t>
      </w:r>
      <w:r w:rsidR="0090019F">
        <w:t>1</w:t>
      </w:r>
      <w:r>
        <w:tab/>
      </w:r>
      <w:r w:rsidR="00F31AE1">
        <w:t>SDT Framework for Positioning</w:t>
      </w:r>
    </w:p>
    <w:p w14:paraId="21454121" w14:textId="1947A652" w:rsidR="00F31AE1" w:rsidRDefault="00F31AE1" w:rsidP="00A04F49">
      <w:pPr>
        <w:pStyle w:val="BodyText"/>
      </w:pPr>
      <w:r>
        <w:t>We see several concerns of using SDT framework. The concerns are listed below</w:t>
      </w:r>
    </w:p>
    <w:p w14:paraId="653763FE" w14:textId="4AF2C5E6" w:rsidR="00F31AE1" w:rsidRDefault="00F31AE1" w:rsidP="00F31AE1">
      <w:pPr>
        <w:pStyle w:val="Heading3"/>
      </w:pPr>
      <w:r>
        <w:t>2.1.1</w:t>
      </w:r>
      <w:r>
        <w:tab/>
        <w:t>Lack of SDT Support for Control Plane Solution</w:t>
      </w:r>
    </w:p>
    <w:p w14:paraId="5E9EE8E9" w14:textId="01D7FBC5" w:rsidR="00F31AE1" w:rsidRDefault="00B22DE8" w:rsidP="00F31AE1">
      <w:r>
        <w:t xml:space="preserve">The scope of Rel-17 WI for SDT does not include </w:t>
      </w:r>
      <w:r w:rsidR="00C77D26">
        <w:t>CP Solution. Only UP Solution is in the scope. LPP is transported over NAS and hence CP based signalling is required. In such case, it is not possible to use the SDT framework.</w:t>
      </w:r>
    </w:p>
    <w:p w14:paraId="4A01DBA9" w14:textId="0A4586EE" w:rsidR="00F31AE1" w:rsidRDefault="00F31AE1" w:rsidP="00F31AE1">
      <w:pPr>
        <w:pStyle w:val="Heading3"/>
      </w:pPr>
      <w:r>
        <w:t>2.1.2</w:t>
      </w:r>
      <w:r>
        <w:tab/>
        <w:t>Lack of Integrity Protection Support in EDT Control Plane Solution</w:t>
      </w:r>
    </w:p>
    <w:p w14:paraId="11881259" w14:textId="67097F4D" w:rsidR="00F31AE1" w:rsidRDefault="00C77D26" w:rsidP="00F31AE1">
      <w:r>
        <w:t>In LTE, CP Solution for early data transmission do not provide Integrity protection. Only for UP solution it is possible. Positioning measurement report is sensitive information where without IP it should not be delivered. Integrity Protection is a means to allow the receiver to ensure that the sender is indeed who the receiver thinks the sender is. For example, to avoid that another entity has inserted packets in the data flow. RAN2 would have to consult SA3 and solution with IP should be provided for CP solution to deliver sensitive information.</w:t>
      </w:r>
    </w:p>
    <w:p w14:paraId="499D365D" w14:textId="7BCF970E" w:rsidR="00C77D26" w:rsidRDefault="00C77D26" w:rsidP="00F31AE1">
      <w:r>
        <w:t>For NB-IOT Rel-16 SON/ANR feature, RAN2 agreed not to support ANR reporting for CP solution because of lack of IP solution.</w:t>
      </w:r>
      <w:r w:rsidR="005F0A3F">
        <w:t xml:space="preserve"> From TS 36.300</w:t>
      </w:r>
    </w:p>
    <w:p w14:paraId="4F88E3A1" w14:textId="77777777" w:rsidR="005F0A3F" w:rsidRPr="00200BAD" w:rsidRDefault="005F0A3F" w:rsidP="005F0A3F">
      <w:r w:rsidRPr="00200BAD">
        <w:t xml:space="preserve">The purpose of SON/ANR reporting in NB-IoT is network optimisation. The measurements are performed when the UE is in RRC_IDLE and reported next time the UE enters RRC_CONNECTED. </w:t>
      </w:r>
      <w:r w:rsidRPr="005F0A3F">
        <w:rPr>
          <w:highlight w:val="yellow"/>
        </w:rPr>
        <w:t xml:space="preserve">ANR measurement reporting is not supported when the UE uses the Control Plane </w:t>
      </w:r>
      <w:proofErr w:type="spellStart"/>
      <w:r w:rsidRPr="005F0A3F">
        <w:rPr>
          <w:highlight w:val="yellow"/>
        </w:rPr>
        <w:t>CIoT</w:t>
      </w:r>
      <w:proofErr w:type="spellEnd"/>
      <w:r w:rsidRPr="005F0A3F">
        <w:rPr>
          <w:highlight w:val="yellow"/>
        </w:rPr>
        <w:t xml:space="preserve"> EPS Optimisation.</w:t>
      </w:r>
    </w:p>
    <w:p w14:paraId="7BC6440B" w14:textId="562E5423" w:rsidR="00F31AE1" w:rsidRDefault="00F31AE1" w:rsidP="00F31AE1">
      <w:pPr>
        <w:pStyle w:val="Heading3"/>
      </w:pPr>
      <w:r>
        <w:t>2.1.3</w:t>
      </w:r>
      <w:r>
        <w:tab/>
        <w:t>SDT (Small Data) Positioning (Large Data)</w:t>
      </w:r>
    </w:p>
    <w:p w14:paraId="4A5EB49B" w14:textId="7D9B9B8C" w:rsidR="00F31AE1" w:rsidRDefault="00C77D26" w:rsidP="00F31AE1">
      <w:r>
        <w:t xml:space="preserve">SDT framework is for providing data which is meant to be small. Positioning measurements results would not be categorized as small data. </w:t>
      </w:r>
      <w:r w:rsidR="00BA7DBC">
        <w:t>For example; below structure considering only 3 TRPs in different cell</w:t>
      </w:r>
      <w:r w:rsidR="0066042C">
        <w:t>s, including additional path would be more than 1000 bits.</w:t>
      </w:r>
    </w:p>
    <w:p w14:paraId="1F27980C" w14:textId="4D00B716" w:rsidR="0066042C" w:rsidRDefault="0066042C" w:rsidP="00F31AE1"/>
    <w:p w14:paraId="0678B342" w14:textId="77777777" w:rsidR="0066042C" w:rsidRPr="007B2E20" w:rsidRDefault="0066042C" w:rsidP="0066042C">
      <w:pPr>
        <w:pStyle w:val="PL"/>
      </w:pPr>
      <w:r w:rsidRPr="007B2E20">
        <w:lastRenderedPageBreak/>
        <w:t>-- ASN1START</w:t>
      </w:r>
    </w:p>
    <w:p w14:paraId="5F819F6D" w14:textId="77777777" w:rsidR="0066042C" w:rsidRPr="007B2E20" w:rsidRDefault="0066042C" w:rsidP="0066042C">
      <w:pPr>
        <w:pStyle w:val="PL"/>
        <w:rPr>
          <w:snapToGrid w:val="0"/>
        </w:rPr>
      </w:pPr>
    </w:p>
    <w:p w14:paraId="0ACDF823" w14:textId="77777777" w:rsidR="0066042C" w:rsidRPr="007B2E20" w:rsidRDefault="0066042C" w:rsidP="0066042C">
      <w:pPr>
        <w:pStyle w:val="PL"/>
        <w:rPr>
          <w:snapToGrid w:val="0"/>
        </w:rPr>
      </w:pPr>
      <w:r w:rsidRPr="007B2E20">
        <w:rPr>
          <w:snapToGrid w:val="0"/>
        </w:rPr>
        <w:t>NR-DL-TDOA-SignalMeasurementInformation-r16 ::= SEQUENCE {</w:t>
      </w:r>
    </w:p>
    <w:p w14:paraId="1AB4FA88" w14:textId="77777777" w:rsidR="0066042C" w:rsidRPr="007B2E20" w:rsidRDefault="0066042C" w:rsidP="0066042C">
      <w:pPr>
        <w:pStyle w:val="PL"/>
        <w:rPr>
          <w:snapToGrid w:val="0"/>
        </w:rPr>
      </w:pPr>
      <w:r w:rsidRPr="007B2E20">
        <w:rPr>
          <w:snapToGrid w:val="0"/>
        </w:rPr>
        <w:tab/>
        <w:t>dl-PRS-ReferenceInfo-r16</w:t>
      </w:r>
      <w:r w:rsidRPr="007B2E20">
        <w:rPr>
          <w:snapToGrid w:val="0"/>
        </w:rPr>
        <w:tab/>
      </w:r>
      <w:r w:rsidRPr="007B2E20">
        <w:rPr>
          <w:snapToGrid w:val="0"/>
        </w:rPr>
        <w:tab/>
      </w:r>
      <w:bookmarkStart w:id="2" w:name="_Hlk30954207"/>
      <w:r w:rsidRPr="007B2E20">
        <w:rPr>
          <w:snapToGrid w:val="0"/>
        </w:rPr>
        <w:t>DL-PRS-ID-Info</w:t>
      </w:r>
      <w:bookmarkEnd w:id="2"/>
      <w:r w:rsidRPr="007B2E20">
        <w:rPr>
          <w:snapToGrid w:val="0"/>
        </w:rPr>
        <w:t>-r16,</w:t>
      </w:r>
    </w:p>
    <w:p w14:paraId="2BFC0681" w14:textId="77777777" w:rsidR="0066042C" w:rsidRPr="007B2E20" w:rsidRDefault="0066042C" w:rsidP="0066042C">
      <w:pPr>
        <w:pStyle w:val="PL"/>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t>NR-DL-TDOA-MeasList-r16,</w:t>
      </w:r>
    </w:p>
    <w:p w14:paraId="7E924732" w14:textId="77777777" w:rsidR="0066042C" w:rsidRPr="007B2E20" w:rsidRDefault="0066042C" w:rsidP="0066042C">
      <w:pPr>
        <w:pStyle w:val="PL"/>
        <w:rPr>
          <w:snapToGrid w:val="0"/>
        </w:rPr>
      </w:pPr>
      <w:r w:rsidRPr="007B2E20">
        <w:rPr>
          <w:snapToGrid w:val="0"/>
        </w:rPr>
        <w:tab/>
        <w:t>...</w:t>
      </w:r>
    </w:p>
    <w:p w14:paraId="4CC23C2E" w14:textId="77777777" w:rsidR="0066042C" w:rsidRPr="007B2E20" w:rsidRDefault="0066042C" w:rsidP="0066042C">
      <w:pPr>
        <w:pStyle w:val="PL"/>
        <w:rPr>
          <w:snapToGrid w:val="0"/>
        </w:rPr>
      </w:pPr>
      <w:r w:rsidRPr="007B2E20">
        <w:rPr>
          <w:snapToGrid w:val="0"/>
        </w:rPr>
        <w:t>}</w:t>
      </w:r>
    </w:p>
    <w:p w14:paraId="528B83A8" w14:textId="77777777" w:rsidR="0066042C" w:rsidRPr="007B2E20" w:rsidRDefault="0066042C" w:rsidP="0066042C">
      <w:pPr>
        <w:pStyle w:val="PL"/>
        <w:rPr>
          <w:snapToGrid w:val="0"/>
        </w:rPr>
      </w:pPr>
    </w:p>
    <w:p w14:paraId="4D46A0CB" w14:textId="77777777" w:rsidR="0066042C" w:rsidRPr="007B2E20" w:rsidRDefault="0066042C" w:rsidP="0066042C">
      <w:pPr>
        <w:pStyle w:val="PL"/>
        <w:rPr>
          <w:snapToGrid w:val="0"/>
        </w:rPr>
      </w:pPr>
      <w:r w:rsidRPr="007B2E20">
        <w:rPr>
          <w:snapToGrid w:val="0"/>
        </w:rPr>
        <w:t>NR-DL-TDOA-MeasList-r16 ::= SEQUENCE (SIZE(1..</w:t>
      </w:r>
      <w:r w:rsidRPr="007B2E20">
        <w:t>nrMaxTRPs-r16</w:t>
      </w:r>
      <w:r w:rsidRPr="007B2E20">
        <w:rPr>
          <w:snapToGrid w:val="0"/>
        </w:rPr>
        <w:t>)) OF NR-DL-TDOA-MeasElement-r16</w:t>
      </w:r>
    </w:p>
    <w:p w14:paraId="299360A4" w14:textId="77777777" w:rsidR="0066042C" w:rsidRPr="007B2E20" w:rsidRDefault="0066042C" w:rsidP="0066042C">
      <w:pPr>
        <w:pStyle w:val="PL"/>
        <w:rPr>
          <w:snapToGrid w:val="0"/>
        </w:rPr>
      </w:pPr>
    </w:p>
    <w:p w14:paraId="15EF45B4" w14:textId="77777777" w:rsidR="0066042C" w:rsidRPr="007B2E20" w:rsidRDefault="0066042C" w:rsidP="0066042C">
      <w:pPr>
        <w:pStyle w:val="PL"/>
        <w:rPr>
          <w:snapToGrid w:val="0"/>
        </w:rPr>
      </w:pPr>
      <w:r w:rsidRPr="007B2E20">
        <w:rPr>
          <w:snapToGrid w:val="0"/>
        </w:rPr>
        <w:t>NR-DL-TDOA-MeasElement-r16 ::= SEQUENCE {</w:t>
      </w:r>
    </w:p>
    <w:p w14:paraId="1751C0DE" w14:textId="77777777" w:rsidR="0066042C" w:rsidRPr="007B2E20" w:rsidRDefault="0066042C" w:rsidP="0066042C">
      <w:pPr>
        <w:pStyle w:val="PL"/>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3660BA26" w14:textId="77777777" w:rsidR="0066042C" w:rsidRPr="007B2E20" w:rsidRDefault="0066042C" w:rsidP="0066042C">
      <w:pPr>
        <w:pStyle w:val="PL"/>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7D211CE" w14:textId="77777777" w:rsidR="0066042C" w:rsidRPr="007B2E20" w:rsidRDefault="0066042C" w:rsidP="0066042C">
      <w:pPr>
        <w:pStyle w:val="PL"/>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101E90D" w14:textId="77777777" w:rsidR="0066042C" w:rsidRPr="007B2E20" w:rsidRDefault="0066042C" w:rsidP="0066042C">
      <w:pPr>
        <w:pStyle w:val="PL"/>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15649B4" w14:textId="77777777" w:rsidR="0066042C" w:rsidRPr="007B2E20" w:rsidRDefault="0066042C" w:rsidP="0066042C">
      <w:pPr>
        <w:pStyle w:val="PL"/>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365637C9" w14:textId="77777777" w:rsidR="0066042C" w:rsidRPr="007B2E20" w:rsidRDefault="0066042C" w:rsidP="0066042C">
      <w:pPr>
        <w:pStyle w:val="PL"/>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24A6F91B" w14:textId="77777777" w:rsidR="0066042C" w:rsidRPr="007B2E20" w:rsidRDefault="0066042C" w:rsidP="0066042C">
      <w:pPr>
        <w:pStyle w:val="PL"/>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34AF478B" w14:textId="77777777" w:rsidR="0066042C" w:rsidRPr="007B2E20" w:rsidRDefault="0066042C" w:rsidP="0066042C">
      <w:pPr>
        <w:pStyle w:val="PL"/>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435864F4"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3125CD18"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985025),</w:t>
      </w:r>
    </w:p>
    <w:p w14:paraId="1239CD24"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bCs/>
          <w:snapToGrid w:val="0"/>
        </w:rPr>
        <w:t>492513</w:t>
      </w:r>
      <w:r w:rsidRPr="007B2E20">
        <w:rPr>
          <w:snapToGrid w:val="0"/>
        </w:rPr>
        <w:t>),</w:t>
      </w:r>
    </w:p>
    <w:p w14:paraId="4E7F9320"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246257),</w:t>
      </w:r>
    </w:p>
    <w:p w14:paraId="0F3C238C"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123129),</w:t>
      </w:r>
    </w:p>
    <w:p w14:paraId="112C5B13"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6DAE97A1"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w:t>
      </w:r>
    </w:p>
    <w:p w14:paraId="5DFBF060" w14:textId="77777777" w:rsidR="0066042C" w:rsidRPr="007B2E20" w:rsidRDefault="0066042C" w:rsidP="0066042C">
      <w:pPr>
        <w:pStyle w:val="PL"/>
        <w:rPr>
          <w:snapToGrid w:val="0"/>
        </w:rPr>
      </w:pPr>
      <w:r w:rsidRPr="007B2E20">
        <w:rPr>
          <w:snapToGrid w:val="0"/>
        </w:rPr>
        <w:tab/>
        <w:t>},</w:t>
      </w:r>
    </w:p>
    <w:p w14:paraId="25417A81" w14:textId="77777777" w:rsidR="0066042C" w:rsidRPr="007B2E20" w:rsidRDefault="0066042C" w:rsidP="0066042C">
      <w:pPr>
        <w:pStyle w:val="PL"/>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C05625B" w14:textId="77777777" w:rsidR="0066042C" w:rsidRPr="007B2E20" w:rsidRDefault="0066042C" w:rsidP="0066042C">
      <w:pPr>
        <w:pStyle w:val="PL"/>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559B1F70" w14:textId="77777777" w:rsidR="0066042C" w:rsidRPr="007B2E20" w:rsidRDefault="0066042C" w:rsidP="0066042C">
      <w:pPr>
        <w:pStyle w:val="PL"/>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3B11F87C" w14:textId="77777777" w:rsidR="0066042C" w:rsidRPr="007B2E20" w:rsidRDefault="0066042C" w:rsidP="0066042C">
      <w:pPr>
        <w:pStyle w:val="PL"/>
        <w:rPr>
          <w:snapToGrid w:val="0"/>
        </w:rPr>
      </w:pPr>
      <w:r w:rsidRPr="007B2E20">
        <w:rPr>
          <w:snapToGrid w:val="0"/>
        </w:rPr>
        <w:tab/>
        <w:t>nr-DL-TDOA-AdditionalMeasurements-r16</w:t>
      </w:r>
    </w:p>
    <w:p w14:paraId="3B767CFF"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4BA61535" w14:textId="77777777" w:rsidR="0066042C" w:rsidRPr="007B2E20" w:rsidRDefault="0066042C" w:rsidP="0066042C">
      <w:pPr>
        <w:pStyle w:val="PL"/>
        <w:rPr>
          <w:snapToGrid w:val="0"/>
        </w:rPr>
      </w:pPr>
      <w:r w:rsidRPr="007B2E20">
        <w:rPr>
          <w:snapToGrid w:val="0"/>
        </w:rPr>
        <w:tab/>
        <w:t>...</w:t>
      </w:r>
    </w:p>
    <w:p w14:paraId="3D88728A" w14:textId="77777777" w:rsidR="0066042C" w:rsidRPr="007B2E20" w:rsidRDefault="0066042C" w:rsidP="0066042C">
      <w:pPr>
        <w:pStyle w:val="PL"/>
        <w:rPr>
          <w:snapToGrid w:val="0"/>
        </w:rPr>
      </w:pPr>
      <w:r w:rsidRPr="007B2E20">
        <w:rPr>
          <w:snapToGrid w:val="0"/>
        </w:rPr>
        <w:t>}</w:t>
      </w:r>
    </w:p>
    <w:p w14:paraId="369EDB45" w14:textId="77777777" w:rsidR="0066042C" w:rsidRPr="007B2E20" w:rsidRDefault="0066042C" w:rsidP="0066042C">
      <w:pPr>
        <w:pStyle w:val="PL"/>
        <w:rPr>
          <w:snapToGrid w:val="0"/>
        </w:rPr>
      </w:pPr>
    </w:p>
    <w:p w14:paraId="074EB652" w14:textId="77777777" w:rsidR="0066042C" w:rsidRPr="007B2E20" w:rsidRDefault="0066042C" w:rsidP="0066042C">
      <w:pPr>
        <w:pStyle w:val="PL"/>
        <w:rPr>
          <w:snapToGrid w:val="0"/>
        </w:rPr>
      </w:pPr>
      <w:r w:rsidRPr="007B2E20">
        <w:rPr>
          <w:snapToGrid w:val="0"/>
        </w:rPr>
        <w:t>NR-DL-TDOA-AdditionalMeasurements-r16 ::= SEQUENCE (SIZE (1..3)) OF</w:t>
      </w:r>
    </w:p>
    <w:p w14:paraId="71B50981"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14:paraId="493A9006" w14:textId="77777777" w:rsidR="0066042C" w:rsidRPr="007B2E20" w:rsidRDefault="0066042C" w:rsidP="0066042C">
      <w:pPr>
        <w:pStyle w:val="PL"/>
        <w:rPr>
          <w:snapToGrid w:val="0"/>
        </w:rPr>
      </w:pPr>
    </w:p>
    <w:p w14:paraId="66B42140" w14:textId="77777777" w:rsidR="0066042C" w:rsidRPr="007B2E20" w:rsidRDefault="0066042C" w:rsidP="0066042C">
      <w:pPr>
        <w:pStyle w:val="PL"/>
        <w:rPr>
          <w:snapToGrid w:val="0"/>
        </w:rPr>
      </w:pPr>
      <w:r w:rsidRPr="007B2E20">
        <w:rPr>
          <w:snapToGrid w:val="0"/>
        </w:rPr>
        <w:t>NR-DL-TDOA-AdditionalMeasurementElement-r16 ::= SEQUENCE {</w:t>
      </w:r>
    </w:p>
    <w:p w14:paraId="276C83BF" w14:textId="77777777" w:rsidR="0066042C" w:rsidRPr="007B2E20" w:rsidRDefault="0066042C" w:rsidP="0066042C">
      <w:pPr>
        <w:pStyle w:val="PL"/>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0906F4A8" w14:textId="77777777" w:rsidR="0066042C" w:rsidRPr="007B2E20" w:rsidRDefault="0066042C" w:rsidP="0066042C">
      <w:pPr>
        <w:pStyle w:val="PL"/>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6AE48255" w14:textId="77777777" w:rsidR="0066042C" w:rsidRPr="007B2E20" w:rsidRDefault="0066042C" w:rsidP="0066042C">
      <w:pPr>
        <w:pStyle w:val="PL"/>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5B68E4A6" w14:textId="77777777" w:rsidR="0066042C" w:rsidRPr="007B2E20" w:rsidRDefault="0066042C" w:rsidP="0066042C">
      <w:pPr>
        <w:pStyle w:val="PL"/>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14:paraId="62189230"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8191),</w:t>
      </w:r>
    </w:p>
    <w:p w14:paraId="63AD2C21"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4095),</w:t>
      </w:r>
    </w:p>
    <w:p w14:paraId="0582CF06"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bCs/>
          <w:snapToGrid w:val="0"/>
        </w:rPr>
        <w:t>2047</w:t>
      </w:r>
      <w:r w:rsidRPr="007B2E20">
        <w:rPr>
          <w:snapToGrid w:val="0"/>
        </w:rPr>
        <w:t>),</w:t>
      </w:r>
    </w:p>
    <w:p w14:paraId="064CD547"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1023),</w:t>
      </w:r>
    </w:p>
    <w:p w14:paraId="4C9EABD5"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511),</w:t>
      </w:r>
    </w:p>
    <w:p w14:paraId="7E32D634"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255),</w:t>
      </w:r>
    </w:p>
    <w:p w14:paraId="7F508232" w14:textId="77777777" w:rsidR="0066042C" w:rsidRPr="007B2E20" w:rsidRDefault="0066042C" w:rsidP="0066042C">
      <w:pPr>
        <w:pStyle w:val="PL"/>
        <w:rPr>
          <w:snapToGrid w:val="0"/>
        </w:rPr>
      </w:pPr>
      <w:r w:rsidRPr="007B2E20">
        <w:rPr>
          <w:snapToGrid w:val="0"/>
        </w:rPr>
        <w:tab/>
      </w:r>
      <w:r w:rsidRPr="007B2E20">
        <w:rPr>
          <w:snapToGrid w:val="0"/>
        </w:rPr>
        <w:tab/>
      </w:r>
      <w:r w:rsidRPr="007B2E20">
        <w:rPr>
          <w:snapToGrid w:val="0"/>
        </w:rPr>
        <w:tab/>
        <w:t>...</w:t>
      </w:r>
    </w:p>
    <w:p w14:paraId="4E9FBB5D" w14:textId="77777777" w:rsidR="0066042C" w:rsidRPr="007B2E20" w:rsidRDefault="0066042C" w:rsidP="0066042C">
      <w:pPr>
        <w:pStyle w:val="PL"/>
        <w:rPr>
          <w:snapToGrid w:val="0"/>
        </w:rPr>
      </w:pPr>
      <w:r w:rsidRPr="007B2E20">
        <w:rPr>
          <w:snapToGrid w:val="0"/>
        </w:rPr>
        <w:tab/>
        <w:t>},</w:t>
      </w:r>
    </w:p>
    <w:p w14:paraId="60E3BAB8" w14:textId="77777777" w:rsidR="0066042C" w:rsidRPr="007B2E20" w:rsidRDefault="0066042C" w:rsidP="0066042C">
      <w:pPr>
        <w:pStyle w:val="PL"/>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B7F202E" w14:textId="77777777" w:rsidR="0066042C" w:rsidRPr="007B2E20" w:rsidRDefault="0066042C" w:rsidP="0066042C">
      <w:pPr>
        <w:pStyle w:val="PL"/>
        <w:rPr>
          <w:snapToGrid w:val="0"/>
        </w:rPr>
      </w:pPr>
      <w:r w:rsidRPr="007B2E20">
        <w:rPr>
          <w:snapToGrid w:val="0"/>
        </w:rPr>
        <w:tab/>
        <w:t>nr-DL-PRS-RSRP-ResultDiff-r16</w:t>
      </w:r>
      <w:r w:rsidRPr="007B2E20">
        <w:rPr>
          <w:snapToGrid w:val="0"/>
        </w:rPr>
        <w:tab/>
        <w:t>INTEGER (0</w:t>
      </w:r>
      <w:r w:rsidRPr="007B2E20">
        <w:t>..</w:t>
      </w:r>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702376F" w14:textId="77777777" w:rsidR="0066042C" w:rsidRPr="007B2E20" w:rsidRDefault="0066042C" w:rsidP="0066042C">
      <w:pPr>
        <w:pStyle w:val="PL"/>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B159C67" w14:textId="77777777" w:rsidR="0066042C" w:rsidRPr="007B2E20" w:rsidRDefault="0066042C" w:rsidP="0066042C">
      <w:pPr>
        <w:pStyle w:val="PL"/>
        <w:rPr>
          <w:snapToGrid w:val="0"/>
        </w:rPr>
      </w:pPr>
      <w:r w:rsidRPr="007B2E20">
        <w:rPr>
          <w:snapToGrid w:val="0"/>
        </w:rPr>
        <w:t>...</w:t>
      </w:r>
    </w:p>
    <w:p w14:paraId="771DF7A7" w14:textId="77777777" w:rsidR="0066042C" w:rsidRPr="007B2E20" w:rsidRDefault="0066042C" w:rsidP="0066042C">
      <w:pPr>
        <w:pStyle w:val="PL"/>
        <w:rPr>
          <w:snapToGrid w:val="0"/>
        </w:rPr>
      </w:pPr>
      <w:r w:rsidRPr="007B2E20">
        <w:rPr>
          <w:snapToGrid w:val="0"/>
        </w:rPr>
        <w:t>}</w:t>
      </w:r>
    </w:p>
    <w:p w14:paraId="53B2B282" w14:textId="77777777" w:rsidR="0066042C" w:rsidRPr="007B2E20" w:rsidRDefault="0066042C" w:rsidP="0066042C">
      <w:pPr>
        <w:pStyle w:val="PL"/>
      </w:pPr>
    </w:p>
    <w:p w14:paraId="09771459" w14:textId="77777777" w:rsidR="0066042C" w:rsidRPr="007B2E20" w:rsidRDefault="0066042C" w:rsidP="0066042C">
      <w:pPr>
        <w:pStyle w:val="PL"/>
      </w:pPr>
      <w:r w:rsidRPr="007B2E20">
        <w:t>-- ASN1STOP</w:t>
      </w:r>
    </w:p>
    <w:p w14:paraId="2F7C9FB5" w14:textId="55AB542D" w:rsidR="0066042C" w:rsidRDefault="0066042C" w:rsidP="00F31AE1"/>
    <w:p w14:paraId="28C9282D" w14:textId="6100C8FA" w:rsidR="0066042C" w:rsidRDefault="0066042C" w:rsidP="00F31AE1">
      <w:r>
        <w:t>In LTE, for early EDT, only data less than 1000 bits is delivered using SDT else connected mode procedure is used.</w:t>
      </w:r>
    </w:p>
    <w:p w14:paraId="4CF6FBA6" w14:textId="6F7402C3" w:rsidR="00F31AE1" w:rsidRDefault="00F31AE1" w:rsidP="00F31AE1">
      <w:pPr>
        <w:pStyle w:val="Heading3"/>
      </w:pPr>
      <w:r>
        <w:t>2.1.4</w:t>
      </w:r>
      <w:r>
        <w:tab/>
        <w:t>Architecture Discussion</w:t>
      </w:r>
    </w:p>
    <w:p w14:paraId="0F550D96" w14:textId="1A0A52BA" w:rsidR="00F31AE1" w:rsidRDefault="0066042C" w:rsidP="00F31AE1">
      <w:r>
        <w:t>If companies insist in using SDT framework, alternate would be to use UP SDT framework. As the data is already available in UPF; UPF may deliver it to LMF. However, this would require a significant change in architecture and SA2 needs to study this option.</w:t>
      </w:r>
    </w:p>
    <w:p w14:paraId="6DEF1544" w14:textId="13DFC002" w:rsidR="00F31AE1" w:rsidRDefault="00F31AE1" w:rsidP="00F31AE1"/>
    <w:p w14:paraId="6A7762D3" w14:textId="366BEB92" w:rsidR="00361675" w:rsidRDefault="00361675" w:rsidP="00361675">
      <w:pPr>
        <w:pStyle w:val="Observation"/>
      </w:pPr>
      <w:bookmarkStart w:id="3" w:name="_Toc61562228"/>
      <w:r>
        <w:t xml:space="preserve">There are several issues for SDT CP solution. </w:t>
      </w:r>
      <w:r w:rsidR="0066042C">
        <w:t>Lack of CP solution, Integrity protection, measurement report size for positioning to fit in SDT. Further alternate to CP SDT framework; i.e using UP SDT should be studied by SA2.</w:t>
      </w:r>
      <w:bookmarkEnd w:id="3"/>
    </w:p>
    <w:p w14:paraId="09D5CF1E" w14:textId="451756B7" w:rsidR="00361675" w:rsidRDefault="00361675" w:rsidP="00F31AE1"/>
    <w:p w14:paraId="15C9DCA8" w14:textId="117B5CA0" w:rsidR="0066042C" w:rsidRDefault="0066042C" w:rsidP="0066042C">
      <w:pPr>
        <w:pStyle w:val="Proposal"/>
      </w:pPr>
      <w:bookmarkStart w:id="4" w:name="_Toc61562232"/>
      <w:r>
        <w:lastRenderedPageBreak/>
        <w:t>RAN2 to agree that SDT Framework using CP solution cannot be used for Positioning.</w:t>
      </w:r>
      <w:bookmarkEnd w:id="4"/>
    </w:p>
    <w:p w14:paraId="096238DC" w14:textId="603E714F" w:rsidR="00F31AE1" w:rsidRDefault="00F31AE1" w:rsidP="00F31AE1">
      <w:pPr>
        <w:pStyle w:val="Heading2"/>
      </w:pPr>
      <w:r>
        <w:t>2.2</w:t>
      </w:r>
      <w:r>
        <w:tab/>
        <w:t>UL Positioning</w:t>
      </w:r>
    </w:p>
    <w:p w14:paraId="1E92A947" w14:textId="55E4EC74" w:rsidR="00B36BD4" w:rsidRDefault="00F31AE1" w:rsidP="00B36BD4">
      <w:r>
        <w:t>R</w:t>
      </w:r>
      <w:r w:rsidR="002F2EA7">
        <w:t xml:space="preserve">STD measurements have been defined for </w:t>
      </w:r>
      <w:r w:rsidR="00EF09D4">
        <w:t>Idle mode in LTE for NB-IOT UEs. This is mainly for power saving purposes. It needs to be discussed whether there is benefit of supporting RSTD measurements in idle mode</w:t>
      </w:r>
      <w:r w:rsidR="00114ACC">
        <w:t xml:space="preserve"> for NR where the use case is not to serve power limited devices.</w:t>
      </w:r>
      <w:r w:rsidR="00624273">
        <w:t xml:space="preserve"> </w:t>
      </w:r>
      <w:r w:rsidR="0033082E">
        <w:t xml:space="preserve">However, </w:t>
      </w:r>
      <w:r w:rsidR="0066042C">
        <w:t>there are benefits that UE which are able to perform positioning using UE based can compute location without LPP transaction; i.e</w:t>
      </w:r>
      <w:r w:rsidR="0033082E">
        <w:t xml:space="preserve"> If the AD is being p</w:t>
      </w:r>
      <w:r w:rsidR="000561CB">
        <w:t xml:space="preserve">rovided by means of broadcast, then UE can use the AD to identify the PRS and perform the measurements in </w:t>
      </w:r>
      <w:r w:rsidR="0066042C">
        <w:t>inactive</w:t>
      </w:r>
      <w:r w:rsidR="000561CB">
        <w:t xml:space="preserve"> mode.</w:t>
      </w:r>
    </w:p>
    <w:p w14:paraId="1DC34C5D" w14:textId="6036D5F2" w:rsidR="006001F5" w:rsidRDefault="006001F5" w:rsidP="00B36BD4">
      <w:r>
        <w:t xml:space="preserve">However, </w:t>
      </w:r>
      <w:r w:rsidR="004A7009">
        <w:t xml:space="preserve">in order to </w:t>
      </w:r>
      <w:r w:rsidR="0066042C">
        <w:t>wider support; also, to support UE-Assisted case</w:t>
      </w:r>
      <w:r w:rsidR="004A7009">
        <w:t>; it should also be studied as how UE would report it’s RSTD measurements to NW</w:t>
      </w:r>
      <w:r w:rsidR="006C25E4">
        <w:t>.</w:t>
      </w:r>
      <w:r w:rsidR="000C12D3">
        <w:t xml:space="preserve"> </w:t>
      </w:r>
      <w:r w:rsidR="0066042C">
        <w:t xml:space="preserve">As such </w:t>
      </w:r>
      <w:r w:rsidR="000C12D3">
        <w:t>MO-LR procedure should be used for this.</w:t>
      </w:r>
    </w:p>
    <w:p w14:paraId="1F730DF6" w14:textId="3BABE33E" w:rsidR="000561CB" w:rsidRDefault="00B36BD4" w:rsidP="001515C9">
      <w:pPr>
        <w:pStyle w:val="Observation"/>
      </w:pPr>
      <w:bookmarkStart w:id="5" w:name="_Toc61562229"/>
      <w:r>
        <w:t>There may be benefit</w:t>
      </w:r>
      <w:r w:rsidR="008E1E8C">
        <w:t xml:space="preserve"> </w:t>
      </w:r>
      <w:r w:rsidR="0020668A">
        <w:t xml:space="preserve">by defining RSTD measurements in </w:t>
      </w:r>
      <w:r w:rsidR="0066042C">
        <w:t>Inactive</w:t>
      </w:r>
      <w:r w:rsidR="0020668A">
        <w:t xml:space="preserve"> mode. RAN1 should define such measurements</w:t>
      </w:r>
      <w:r w:rsidR="0069679E">
        <w:t xml:space="preserve"> and</w:t>
      </w:r>
      <w:r w:rsidR="006C25E4">
        <w:t xml:space="preserve"> RAN2 should further study </w:t>
      </w:r>
      <w:r w:rsidR="000C12D3">
        <w:t xml:space="preserve">and consult with SA2 </w:t>
      </w:r>
      <w:r w:rsidR="006C25E4">
        <w:t>on measurement reporting from UE</w:t>
      </w:r>
      <w:r w:rsidR="00237319">
        <w:t xml:space="preserve"> for the measurements performed in I</w:t>
      </w:r>
      <w:r w:rsidR="0066042C">
        <w:t>nactive</w:t>
      </w:r>
      <w:r w:rsidR="00237319">
        <w:t xml:space="preserve"> mode</w:t>
      </w:r>
      <w:r w:rsidR="006C25E4">
        <w:t>.</w:t>
      </w:r>
      <w:bookmarkEnd w:id="5"/>
    </w:p>
    <w:p w14:paraId="49465C06" w14:textId="02F92FB3" w:rsidR="00C336F1" w:rsidRDefault="00BD14F0" w:rsidP="001515C9">
      <w:pPr>
        <w:pStyle w:val="Observation"/>
      </w:pPr>
      <w:bookmarkStart w:id="6" w:name="_Toc61562230"/>
      <w:r>
        <w:t xml:space="preserve">Efficient </w:t>
      </w:r>
      <w:r w:rsidR="002168C3">
        <w:t>Positioning measurement reporting from inactive</w:t>
      </w:r>
      <w:r w:rsidR="005E1C40">
        <w:t xml:space="preserve"> and triggering of </w:t>
      </w:r>
      <w:r w:rsidR="004A2331">
        <w:t>inactive to connected mode based on positioning measurement config events</w:t>
      </w:r>
      <w:r w:rsidR="00C23A91">
        <w:t xml:space="preserve"> would need to be explored further.</w:t>
      </w:r>
      <w:bookmarkEnd w:id="6"/>
    </w:p>
    <w:p w14:paraId="2345D7B5" w14:textId="2E3E3232" w:rsidR="00F91DF2" w:rsidRDefault="0066042C" w:rsidP="00F91DF2">
      <w:pPr>
        <w:pStyle w:val="Proposal"/>
      </w:pPr>
      <w:bookmarkStart w:id="7" w:name="_Toc61562233"/>
      <w:r>
        <w:t xml:space="preserve">DL PRS RSTD measurements </w:t>
      </w:r>
      <w:r w:rsidR="008F130C">
        <w:t>is supported in Inactive mode</w:t>
      </w:r>
      <w:r w:rsidR="000C12D3">
        <w:t>.</w:t>
      </w:r>
      <w:bookmarkEnd w:id="7"/>
    </w:p>
    <w:p w14:paraId="796669E7" w14:textId="77777777" w:rsidR="008F130C" w:rsidRDefault="008F130C" w:rsidP="009C7574"/>
    <w:p w14:paraId="45117E6A" w14:textId="77777777" w:rsidR="008E3752" w:rsidRDefault="00F476CB" w:rsidP="009C7574">
      <w:r>
        <w:t>However, when it comes to UL-SRS</w:t>
      </w:r>
      <w:r w:rsidR="000A0DD2">
        <w:t xml:space="preserve">, it would be very complex for the UE to transmit UL SRS in idle/inactive. It would be only useful if the UE is semi-stationary or stationary such that it is </w:t>
      </w:r>
      <w:r w:rsidR="004C570F">
        <w:t>always served by same cell</w:t>
      </w:r>
      <w:r w:rsidR="008E3752">
        <w:t xml:space="preserve"> and in the same radio condition</w:t>
      </w:r>
      <w:r w:rsidR="004C570F">
        <w:t>.</w:t>
      </w:r>
    </w:p>
    <w:p w14:paraId="137FE0FC" w14:textId="020C5C66" w:rsidR="008E3752" w:rsidRDefault="004C570F" w:rsidP="009C7574">
      <w:r>
        <w:t xml:space="preserve">As UL-SRS resource </w:t>
      </w:r>
      <w:r w:rsidR="00BC3586">
        <w:t>require UL</w:t>
      </w:r>
      <w:r>
        <w:t xml:space="preserve"> cell specific resource </w:t>
      </w:r>
      <w:r w:rsidR="00BC3586">
        <w:t xml:space="preserve">(time/freq) and is </w:t>
      </w:r>
      <w:r>
        <w:t>allocated to a UE; if UE moves</w:t>
      </w:r>
      <w:r w:rsidR="008E3752">
        <w:t xml:space="preserve"> out of</w:t>
      </w:r>
      <w:r>
        <w:t xml:space="preserve"> the serving cell</w:t>
      </w:r>
      <w:r w:rsidR="008E3752">
        <w:t>; gNB</w:t>
      </w:r>
      <w:r>
        <w:t xml:space="preserve"> should b</w:t>
      </w:r>
      <w:r w:rsidR="002379F4">
        <w:t>e</w:t>
      </w:r>
      <w:r>
        <w:t xml:space="preserve"> aware so that the resource would be released. </w:t>
      </w:r>
      <w:r w:rsidR="008907C4">
        <w:t xml:space="preserve"> Positioning use case as such involves moving UE, hence UL SRS may not be dynamically allocated/released based upon UE movement.</w:t>
      </w:r>
      <w:r w:rsidR="008E3752">
        <w:t xml:space="preserve"> There would be lag with UE context fetch procedure and in the mean while UE may cause interference.</w:t>
      </w:r>
    </w:p>
    <w:p w14:paraId="71484B44" w14:textId="062E3007" w:rsidR="007F1D5D" w:rsidRDefault="008907C4" w:rsidP="009C7574">
      <w:r>
        <w:t xml:space="preserve"> For this reason, UL-</w:t>
      </w:r>
      <w:r w:rsidR="000C12D3">
        <w:t>SRS should</w:t>
      </w:r>
      <w:r w:rsidR="006001F5">
        <w:t xml:space="preserve"> not be considered for idle/inactive mode positioning</w:t>
      </w:r>
      <w:r w:rsidR="000C12D3">
        <w:t>.</w:t>
      </w:r>
      <w:r w:rsidR="008F130C">
        <w:t xml:space="preserve"> </w:t>
      </w:r>
    </w:p>
    <w:p w14:paraId="42C1B000" w14:textId="3B855568" w:rsidR="008E3752" w:rsidRDefault="008E3752" w:rsidP="008E3752">
      <w:pPr>
        <w:pStyle w:val="Observation"/>
      </w:pPr>
      <w:bookmarkStart w:id="8" w:name="_Toc61562231"/>
      <w:r>
        <w:t>UL SRS based inactive positioning may only work for short time after UE is released; i.e if the condition remains same. Positioning involves UE on move and hence it would be difficult to provide efficient signalling (pre-configuration before release) to allow UE to continue transmitting SRS in Inactive mode.</w:t>
      </w:r>
      <w:bookmarkEnd w:id="8"/>
    </w:p>
    <w:p w14:paraId="63D7DEB2" w14:textId="3C492072" w:rsidR="002E220A" w:rsidRDefault="000C12D3" w:rsidP="001515C9">
      <w:pPr>
        <w:pStyle w:val="Proposal"/>
      </w:pPr>
      <w:bookmarkStart w:id="9" w:name="_Toc61562234"/>
      <w:r>
        <w:t>UL</w:t>
      </w:r>
      <w:r w:rsidR="008F130C">
        <w:t xml:space="preserve"> based Inactive Positioning</w:t>
      </w:r>
      <w:r>
        <w:t xml:space="preserve"> </w:t>
      </w:r>
      <w:r w:rsidR="008F130C">
        <w:t>is not supported</w:t>
      </w:r>
      <w:r>
        <w:t>.</w:t>
      </w:r>
      <w:bookmarkEnd w:id="9"/>
    </w:p>
    <w:p w14:paraId="5C6E9A57" w14:textId="77777777" w:rsidR="008E3752" w:rsidRDefault="008E3752" w:rsidP="008E3752">
      <w:pPr>
        <w:pStyle w:val="Proposal"/>
        <w:numPr>
          <w:ilvl w:val="0"/>
          <w:numId w:val="0"/>
        </w:numPr>
        <w:ind w:left="1304"/>
      </w:pPr>
    </w:p>
    <w:p w14:paraId="135747FF" w14:textId="4ACA4273" w:rsidR="00F31AE1" w:rsidRDefault="00F31AE1" w:rsidP="00F31AE1">
      <w:pPr>
        <w:pStyle w:val="Heading2"/>
      </w:pPr>
      <w:r>
        <w:t>2.2</w:t>
      </w:r>
      <w:r>
        <w:tab/>
        <w:t>On Demand PRS</w:t>
      </w:r>
    </w:p>
    <w:p w14:paraId="4C64244C" w14:textId="7875D288" w:rsidR="00F31AE1" w:rsidRDefault="00F31AE1" w:rsidP="00F31AE1"/>
    <w:p w14:paraId="25BE1975" w14:textId="4F70648B" w:rsidR="00F31AE1" w:rsidRDefault="00F31AE1" w:rsidP="00F31AE1">
      <w:pPr>
        <w:pStyle w:val="Heading3"/>
      </w:pPr>
      <w:r>
        <w:t>2.2.1</w:t>
      </w:r>
      <w:r>
        <w:tab/>
        <w:t>GDOP Report</w:t>
      </w:r>
    </w:p>
    <w:p w14:paraId="20A7B402" w14:textId="23D7FCB8" w:rsidR="004E7F67" w:rsidRPr="004E7F67" w:rsidRDefault="004E7F67" w:rsidP="004E7F67">
      <w:pPr>
        <w:pStyle w:val="IvDInstructiontext"/>
        <w:jc w:val="both"/>
        <w:rPr>
          <w:rFonts w:ascii="Times New Roman" w:hAnsi="Times New Roman" w:cs="Times New Roman"/>
          <w:i w:val="0"/>
          <w:color w:val="auto"/>
          <w:sz w:val="20"/>
          <w:szCs w:val="20"/>
        </w:rPr>
      </w:pPr>
      <w:r w:rsidRPr="004E7F67">
        <w:rPr>
          <w:rFonts w:ascii="Times New Roman" w:hAnsi="Times New Roman" w:cs="Times New Roman"/>
          <w:i w:val="0"/>
          <w:color w:val="auto"/>
          <w:sz w:val="20"/>
          <w:szCs w:val="20"/>
        </w:rPr>
        <w:t>[</w:t>
      </w:r>
      <w:r w:rsidR="007D4DA5">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sidR="007D4DA5">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position error to the range error.</w:t>
      </w:r>
    </w:p>
    <w:p w14:paraId="3E326548" w14:textId="77777777" w:rsidR="004E7F67" w:rsidRDefault="004E7F67" w:rsidP="004E7F67"/>
    <w:p w14:paraId="3C4BA26A" w14:textId="777AD460" w:rsidR="004E7F67" w:rsidRDefault="004E7F67" w:rsidP="004E7F67">
      <w:r>
        <w:lastRenderedPageBreak/>
        <w:t>Based upon GDOP result and analysis, LMF may decide how whether certain TRPs are contributing to positioning performance or not. Hence, this result can help LMF to filter TRPs for PRS transmission.</w:t>
      </w:r>
    </w:p>
    <w:p w14:paraId="34CD4893" w14:textId="3C6438B8" w:rsidR="004E7F67" w:rsidRDefault="004E7F67" w:rsidP="004E7F67">
      <w:r>
        <w:t>For UE based, UE computes the position and positioning error</w:t>
      </w:r>
      <w:r w:rsidR="007D4DA5">
        <w:t>/uncertainties</w:t>
      </w:r>
      <w:r>
        <w:t xml:space="preserve"> and hence GDOP information is available to UE. UE should share such info to LMF to facilitate in PRS overhead reduction.</w:t>
      </w:r>
    </w:p>
    <w:p w14:paraId="74B7EDA0" w14:textId="2A8496AF" w:rsidR="004E7F67" w:rsidRDefault="004E7F67" w:rsidP="004E7F67">
      <w:pPr>
        <w:pStyle w:val="Proposal"/>
      </w:pPr>
      <w:bookmarkStart w:id="10" w:name="_Toc61562235"/>
      <w:r>
        <w:t>GDOP result is provided to LMF by UE operating in UE based mode.</w:t>
      </w:r>
      <w:bookmarkEnd w:id="10"/>
    </w:p>
    <w:p w14:paraId="74BFB483" w14:textId="77777777" w:rsidR="004E7F67" w:rsidRPr="004E7F67" w:rsidRDefault="004E7F67" w:rsidP="004E7F67"/>
    <w:p w14:paraId="4D7869EF" w14:textId="57A19784" w:rsidR="0090019F" w:rsidRDefault="0090019F" w:rsidP="00F31AE1">
      <w:pPr>
        <w:pStyle w:val="Heading3"/>
      </w:pPr>
      <w:r>
        <w:t>2.</w:t>
      </w:r>
      <w:r w:rsidR="00F31AE1">
        <w:t>2.2</w:t>
      </w:r>
      <w:r>
        <w:tab/>
      </w:r>
      <w:r w:rsidR="00C55026">
        <w:t>UE Based Authorization while in Broadcast mode</w:t>
      </w:r>
    </w:p>
    <w:p w14:paraId="502D7C64" w14:textId="61AC7C5D" w:rsidR="0064632A" w:rsidRDefault="0064632A" w:rsidP="0064632A">
      <w:pPr>
        <w:rPr>
          <w:lang w:val="en-US" w:eastAsia="zh-CN"/>
        </w:rPr>
      </w:pPr>
      <w:r>
        <w:rPr>
          <w:lang w:val="en-US"/>
        </w:rPr>
        <w:t xml:space="preserve">Currently LMF provides the authorization whether UE should operate in UE-A or UE-B mode. This sort of authorization should be possible also when AD is being delivered </w:t>
      </w:r>
      <w:r w:rsidR="001E0A7E">
        <w:rPr>
          <w:lang w:val="en-US"/>
        </w:rPr>
        <w:t xml:space="preserve">using broadcast. </w:t>
      </w:r>
      <w:r>
        <w:rPr>
          <w:lang w:val="en-US"/>
        </w:rPr>
        <w:t xml:space="preserve">It should be deployment preference to allow UE to operate in certain positioning modes. Depending upon </w:t>
      </w:r>
    </w:p>
    <w:p w14:paraId="7C09E550" w14:textId="77777777" w:rsidR="0064632A" w:rsidRPr="001E0A7E" w:rsidRDefault="0064632A" w:rsidP="001E0A7E">
      <w:pPr>
        <w:pStyle w:val="ListParagraph"/>
        <w:numPr>
          <w:ilvl w:val="0"/>
          <w:numId w:val="28"/>
        </w:numPr>
        <w:rPr>
          <w:lang w:val="en-US"/>
        </w:rPr>
      </w:pPr>
      <w:r w:rsidRPr="001E0A7E">
        <w:rPr>
          <w:lang w:val="en-US"/>
        </w:rPr>
        <w:t>the need to actively obtain the measurement results in order to tune the network resource suitable for the UE based beam transmission.</w:t>
      </w:r>
    </w:p>
    <w:p w14:paraId="22AF17DD" w14:textId="77777777" w:rsidR="0064632A" w:rsidRPr="001E0A7E" w:rsidRDefault="0064632A" w:rsidP="001E0A7E">
      <w:pPr>
        <w:pStyle w:val="ListParagraph"/>
        <w:numPr>
          <w:ilvl w:val="0"/>
          <w:numId w:val="28"/>
        </w:numPr>
        <w:rPr>
          <w:lang w:val="en-US"/>
        </w:rPr>
      </w:pPr>
      <w:r w:rsidRPr="001E0A7E">
        <w:rPr>
          <w:lang w:val="en-US"/>
        </w:rPr>
        <w:t>to be able to save energy (turn off DL PRS beams that are in NLOS or not contributing to positioning measurements)</w:t>
      </w:r>
    </w:p>
    <w:p w14:paraId="32333F0B" w14:textId="77777777" w:rsidR="0064632A" w:rsidRPr="001E0A7E" w:rsidRDefault="0064632A" w:rsidP="001E0A7E">
      <w:pPr>
        <w:pStyle w:val="ListParagraph"/>
        <w:numPr>
          <w:ilvl w:val="0"/>
          <w:numId w:val="28"/>
        </w:numPr>
        <w:rPr>
          <w:lang w:val="en-US"/>
        </w:rPr>
      </w:pPr>
      <w:r w:rsidRPr="001E0A7E">
        <w:rPr>
          <w:lang w:val="en-US"/>
        </w:rPr>
        <w:t>Number of UEs, UE distribution in a local geographical area. For example, if there are few UEs in a cell, the DL-PRS beams may be more aligned for these UEs; i.e there is no need to have a complete beam coverage (360 degrees) all the time. The number of neighbor beams can also be minimized.</w:t>
      </w:r>
    </w:p>
    <w:p w14:paraId="730666F4" w14:textId="27E62E6F" w:rsidR="0064632A" w:rsidRDefault="0064632A" w:rsidP="0064632A">
      <w:pPr>
        <w:rPr>
          <w:lang w:val="en-US"/>
        </w:rPr>
      </w:pPr>
    </w:p>
    <w:p w14:paraId="693AB9F0" w14:textId="77777777" w:rsidR="006D0A34" w:rsidRDefault="006D0A34" w:rsidP="006D0A34">
      <w:r w:rsidRPr="001E0A7E">
        <w:t xml:space="preserve">NW may </w:t>
      </w:r>
      <w:r>
        <w:t>authorize that UE in certain geographical area (group of cells) to operate in one of the modes; UE-A or UE-B mode. If NW sets UE-A mode, then the UE-B capable UEs may still compute and consume the positioning while providing the measurement results to the NW for PRS overhead management purpose.</w:t>
      </w:r>
    </w:p>
    <w:p w14:paraId="57A8964D" w14:textId="0B482797" w:rsidR="0064632A" w:rsidRDefault="0064632A" w:rsidP="0064632A">
      <w:pPr>
        <w:pStyle w:val="Proposal"/>
        <w:rPr>
          <w:lang w:val="en-US"/>
        </w:rPr>
      </w:pPr>
      <w:bookmarkStart w:id="11" w:name="_Toc23594577"/>
      <w:bookmarkStart w:id="12" w:name="_Toc61562236"/>
      <w:r>
        <w:rPr>
          <w:lang w:val="en-US"/>
        </w:rPr>
        <w:t>Allow a deployment to specify which positioning mode the UE may operate in</w:t>
      </w:r>
      <w:r w:rsidR="001E0A7E">
        <w:rPr>
          <w:lang w:val="en-US"/>
        </w:rPr>
        <w:t xml:space="preserve"> via broadcast</w:t>
      </w:r>
      <w:r>
        <w:rPr>
          <w:lang w:val="en-US"/>
        </w:rPr>
        <w:t>.</w:t>
      </w:r>
      <w:bookmarkEnd w:id="11"/>
      <w:bookmarkEnd w:id="12"/>
      <w:r>
        <w:rPr>
          <w:lang w:val="en-US"/>
        </w:rPr>
        <w:t xml:space="preserve"> </w:t>
      </w:r>
    </w:p>
    <w:p w14:paraId="449458FF" w14:textId="77777777" w:rsidR="0064632A" w:rsidRPr="001E0A7E" w:rsidRDefault="0064632A" w:rsidP="001E0A7E"/>
    <w:p w14:paraId="62B304CE" w14:textId="5FBD2A39" w:rsidR="001E0A7E" w:rsidRPr="001E0A7E" w:rsidRDefault="001E0A7E" w:rsidP="001E0A7E">
      <w:pPr>
        <w:sectPr w:rsidR="001E0A7E" w:rsidRPr="001E0A7E" w:rsidSect="00C21B3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8CC3778" w14:textId="77777777" w:rsidR="00C01F33" w:rsidRPr="00CE0424" w:rsidRDefault="00C01F33" w:rsidP="00CE0424">
      <w:pPr>
        <w:pStyle w:val="Heading1"/>
      </w:pPr>
      <w:r w:rsidRPr="00CE0424">
        <w:lastRenderedPageBreak/>
        <w:t>Conclusion</w:t>
      </w:r>
    </w:p>
    <w:p w14:paraId="1D78A7E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2832CD" w14:textId="77777777" w:rsidR="00936F6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62228" w:history="1">
        <w:r w:rsidR="00936F6C" w:rsidRPr="00843598">
          <w:rPr>
            <w:rStyle w:val="Hyperlink"/>
            <w:noProof/>
          </w:rPr>
          <w:t>Observation 1</w:t>
        </w:r>
        <w:r w:rsidR="00936F6C">
          <w:rPr>
            <w:rFonts w:asciiTheme="minorHAnsi" w:eastAsiaTheme="minorEastAsia" w:hAnsiTheme="minorHAnsi" w:cstheme="minorBidi"/>
            <w:b w:val="0"/>
            <w:noProof/>
            <w:sz w:val="22"/>
            <w:szCs w:val="22"/>
            <w:lang w:val="sv-SE" w:eastAsia="sv-SE"/>
          </w:rPr>
          <w:tab/>
        </w:r>
        <w:r w:rsidR="00936F6C" w:rsidRPr="00843598">
          <w:rPr>
            <w:rStyle w:val="Hyperlink"/>
            <w:noProof/>
          </w:rPr>
          <w:t>There are several issues for SDT CP solution. Lack of CP solution, Integrity protection, measurement report size for positioning to fit in SDT. Further alternate to CP SDT framework; i.e using UP SDT should be studied by SA2.</w:t>
        </w:r>
      </w:hyperlink>
    </w:p>
    <w:p w14:paraId="7D3190B3" w14:textId="77777777"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29" w:history="1">
        <w:r w:rsidRPr="00843598">
          <w:rPr>
            <w:rStyle w:val="Hyperlink"/>
            <w:noProof/>
          </w:rPr>
          <w:t>Observation 2</w:t>
        </w:r>
        <w:r>
          <w:rPr>
            <w:rFonts w:asciiTheme="minorHAnsi" w:eastAsiaTheme="minorEastAsia" w:hAnsiTheme="minorHAnsi" w:cstheme="minorBidi"/>
            <w:b w:val="0"/>
            <w:noProof/>
            <w:sz w:val="22"/>
            <w:szCs w:val="22"/>
            <w:lang w:val="sv-SE" w:eastAsia="sv-SE"/>
          </w:rPr>
          <w:tab/>
        </w:r>
        <w:r w:rsidRPr="00843598">
          <w:rPr>
            <w:rStyle w:val="Hyperlink"/>
            <w:noProof/>
          </w:rPr>
          <w:t>There may be benefit by defining RSTD measurements in Inactive mode. RAN1 should define such measurements and RAN2 should further study and consult with SA2 on measurement reporting from UE for the measurements performed in Inactive mode.</w:t>
        </w:r>
      </w:hyperlink>
    </w:p>
    <w:p w14:paraId="71892600" w14:textId="77777777"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0" w:history="1">
        <w:r w:rsidRPr="00843598">
          <w:rPr>
            <w:rStyle w:val="Hyperlink"/>
            <w:noProof/>
          </w:rPr>
          <w:t>Observation 3</w:t>
        </w:r>
        <w:r>
          <w:rPr>
            <w:rFonts w:asciiTheme="minorHAnsi" w:eastAsiaTheme="minorEastAsia" w:hAnsiTheme="minorHAnsi" w:cstheme="minorBidi"/>
            <w:b w:val="0"/>
            <w:noProof/>
            <w:sz w:val="22"/>
            <w:szCs w:val="22"/>
            <w:lang w:val="sv-SE" w:eastAsia="sv-SE"/>
          </w:rPr>
          <w:tab/>
        </w:r>
        <w:r w:rsidRPr="00843598">
          <w:rPr>
            <w:rStyle w:val="Hyperlink"/>
            <w:noProof/>
          </w:rPr>
          <w:t>Efficient Positioning measurement reporting from inactive and triggering of inactive to connected mode based on positioning measurement config events would need to be explored further.</w:t>
        </w:r>
      </w:hyperlink>
    </w:p>
    <w:p w14:paraId="3583BB52" w14:textId="77777777"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1" w:history="1">
        <w:r w:rsidRPr="00843598">
          <w:rPr>
            <w:rStyle w:val="Hyperlink"/>
            <w:noProof/>
          </w:rPr>
          <w:t>Observation 4</w:t>
        </w:r>
        <w:r>
          <w:rPr>
            <w:rFonts w:asciiTheme="minorHAnsi" w:eastAsiaTheme="minorEastAsia" w:hAnsiTheme="minorHAnsi" w:cstheme="minorBidi"/>
            <w:b w:val="0"/>
            <w:noProof/>
            <w:sz w:val="22"/>
            <w:szCs w:val="22"/>
            <w:lang w:val="sv-SE" w:eastAsia="sv-SE"/>
          </w:rPr>
          <w:tab/>
        </w:r>
        <w:r w:rsidRPr="00843598">
          <w:rPr>
            <w:rStyle w:val="Hyperlink"/>
            <w:noProof/>
          </w:rPr>
          <w:t>UL SRS based inactive positioning may only work for short time after UE is released; i.e if the condition remains same. Positioning involves UE on move and hence it would be difficult to provide efficient signalling (pre-configuration before release) to allow UE to continue transmitting SRS in Inactive mode.</w:t>
        </w:r>
      </w:hyperlink>
    </w:p>
    <w:p w14:paraId="4E95602D" w14:textId="54B057E1" w:rsidR="006E1C82" w:rsidRDefault="006F6582" w:rsidP="008E065E">
      <w:pPr>
        <w:pStyle w:val="BodyText"/>
        <w:rPr>
          <w:b/>
          <w:bCs/>
        </w:rPr>
      </w:pPr>
      <w:r>
        <w:rPr>
          <w:b/>
          <w:bCs/>
        </w:rPr>
        <w:fldChar w:fldCharType="end"/>
      </w:r>
    </w:p>
    <w:p w14:paraId="53978812" w14:textId="77777777" w:rsidR="006E1C82" w:rsidRDefault="006E1C82" w:rsidP="008E065E">
      <w:pPr>
        <w:pStyle w:val="BodyText"/>
        <w:rPr>
          <w:b/>
          <w:bCs/>
        </w:rPr>
      </w:pPr>
    </w:p>
    <w:p w14:paraId="774BFF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CA9735" w14:textId="633C48F5" w:rsidR="00936F6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62232" w:history="1">
        <w:r w:rsidR="00936F6C" w:rsidRPr="00DB165E">
          <w:rPr>
            <w:rStyle w:val="Hyperlink"/>
            <w:noProof/>
          </w:rPr>
          <w:t>Proposal 1</w:t>
        </w:r>
        <w:r w:rsidR="00936F6C">
          <w:rPr>
            <w:rFonts w:asciiTheme="minorHAnsi" w:eastAsiaTheme="minorEastAsia" w:hAnsiTheme="minorHAnsi" w:cstheme="minorBidi"/>
            <w:b w:val="0"/>
            <w:noProof/>
            <w:sz w:val="22"/>
            <w:szCs w:val="22"/>
            <w:lang w:val="sv-SE" w:eastAsia="sv-SE"/>
          </w:rPr>
          <w:tab/>
        </w:r>
        <w:r w:rsidR="00936F6C" w:rsidRPr="00DB165E">
          <w:rPr>
            <w:rStyle w:val="Hyperlink"/>
            <w:noProof/>
          </w:rPr>
          <w:t>RAN2 to agree that SDT Framework using CP solution cannot be used for Positioning.</w:t>
        </w:r>
      </w:hyperlink>
    </w:p>
    <w:p w14:paraId="5517D5BF" w14:textId="7E74E0D2"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3" w:history="1">
        <w:r w:rsidRPr="00DB165E">
          <w:rPr>
            <w:rStyle w:val="Hyperlink"/>
            <w:noProof/>
          </w:rPr>
          <w:t>Proposal 2</w:t>
        </w:r>
        <w:r>
          <w:rPr>
            <w:rFonts w:asciiTheme="minorHAnsi" w:eastAsiaTheme="minorEastAsia" w:hAnsiTheme="minorHAnsi" w:cstheme="minorBidi"/>
            <w:b w:val="0"/>
            <w:noProof/>
            <w:sz w:val="22"/>
            <w:szCs w:val="22"/>
            <w:lang w:val="sv-SE" w:eastAsia="sv-SE"/>
          </w:rPr>
          <w:tab/>
        </w:r>
        <w:r w:rsidRPr="00DB165E">
          <w:rPr>
            <w:rStyle w:val="Hyperlink"/>
            <w:noProof/>
          </w:rPr>
          <w:t>DL PRS RSTD measurements is supported in Inactive mode.</w:t>
        </w:r>
      </w:hyperlink>
    </w:p>
    <w:p w14:paraId="0E6FE638" w14:textId="4923D589"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4" w:history="1">
        <w:r w:rsidRPr="00DB165E">
          <w:rPr>
            <w:rStyle w:val="Hyperlink"/>
            <w:noProof/>
          </w:rPr>
          <w:t>Proposal 3</w:t>
        </w:r>
        <w:r>
          <w:rPr>
            <w:rFonts w:asciiTheme="minorHAnsi" w:eastAsiaTheme="minorEastAsia" w:hAnsiTheme="minorHAnsi" w:cstheme="minorBidi"/>
            <w:b w:val="0"/>
            <w:noProof/>
            <w:sz w:val="22"/>
            <w:szCs w:val="22"/>
            <w:lang w:val="sv-SE" w:eastAsia="sv-SE"/>
          </w:rPr>
          <w:tab/>
        </w:r>
        <w:r w:rsidRPr="00DB165E">
          <w:rPr>
            <w:rStyle w:val="Hyperlink"/>
            <w:noProof/>
          </w:rPr>
          <w:t>UL based Inactive Positioning is not supported.</w:t>
        </w:r>
      </w:hyperlink>
    </w:p>
    <w:p w14:paraId="75DFA00C" w14:textId="3686926C"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5" w:history="1">
        <w:r w:rsidRPr="00DB165E">
          <w:rPr>
            <w:rStyle w:val="Hyperlink"/>
            <w:noProof/>
          </w:rPr>
          <w:t>Proposal 4</w:t>
        </w:r>
        <w:r>
          <w:rPr>
            <w:rFonts w:asciiTheme="minorHAnsi" w:eastAsiaTheme="minorEastAsia" w:hAnsiTheme="minorHAnsi" w:cstheme="minorBidi"/>
            <w:b w:val="0"/>
            <w:noProof/>
            <w:sz w:val="22"/>
            <w:szCs w:val="22"/>
            <w:lang w:val="sv-SE" w:eastAsia="sv-SE"/>
          </w:rPr>
          <w:tab/>
        </w:r>
        <w:r w:rsidRPr="00DB165E">
          <w:rPr>
            <w:rStyle w:val="Hyperlink"/>
            <w:noProof/>
          </w:rPr>
          <w:t>GDOP result is provided to LMF by UE operating in UE based mode.</w:t>
        </w:r>
      </w:hyperlink>
    </w:p>
    <w:p w14:paraId="1F0BE4EC" w14:textId="5B9E0EFC" w:rsidR="00936F6C" w:rsidRDefault="00936F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62236" w:history="1">
        <w:r w:rsidRPr="00DB165E">
          <w:rPr>
            <w:rStyle w:val="Hyperlink"/>
            <w:noProof/>
            <w:lang w:val="en-US"/>
          </w:rPr>
          <w:t>Proposal 5</w:t>
        </w:r>
        <w:r>
          <w:rPr>
            <w:rFonts w:asciiTheme="minorHAnsi" w:eastAsiaTheme="minorEastAsia" w:hAnsiTheme="minorHAnsi" w:cstheme="minorBidi"/>
            <w:b w:val="0"/>
            <w:noProof/>
            <w:sz w:val="22"/>
            <w:szCs w:val="22"/>
            <w:lang w:val="sv-SE" w:eastAsia="sv-SE"/>
          </w:rPr>
          <w:tab/>
        </w:r>
        <w:r w:rsidRPr="00DB165E">
          <w:rPr>
            <w:rStyle w:val="Hyperlink"/>
            <w:noProof/>
            <w:lang w:val="en-US"/>
          </w:rPr>
          <w:t>Allow a deployment to specify which positioning mode the UE may operate in via broadcast.</w:t>
        </w:r>
      </w:hyperlink>
    </w:p>
    <w:p w14:paraId="58CA7F99" w14:textId="57BC886D" w:rsidR="006E1C82" w:rsidRPr="00CE0424" w:rsidRDefault="006E1C82" w:rsidP="006E1C82">
      <w:pPr>
        <w:pStyle w:val="BodyText"/>
        <w:rPr>
          <w:b/>
          <w:bCs/>
        </w:rPr>
      </w:pPr>
      <w:r>
        <w:rPr>
          <w:b/>
          <w:bCs/>
          <w:lang w:val="en-US"/>
        </w:rPr>
        <w:fldChar w:fldCharType="end"/>
      </w:r>
      <w:r w:rsidRPr="00CE0424">
        <w:rPr>
          <w:b/>
          <w:bCs/>
        </w:rPr>
        <w:t xml:space="preserve"> </w:t>
      </w:r>
    </w:p>
    <w:p w14:paraId="6B8DF7FB" w14:textId="77777777" w:rsidR="008E065E" w:rsidRPr="00CE0424" w:rsidRDefault="008E065E" w:rsidP="008E065E">
      <w:pPr>
        <w:rPr>
          <w:b/>
          <w:bCs/>
        </w:rPr>
      </w:pPr>
    </w:p>
    <w:p w14:paraId="406F4B80" w14:textId="77777777" w:rsidR="008E065E" w:rsidRPr="00CE0424" w:rsidRDefault="008E065E" w:rsidP="008E065E">
      <w:pPr>
        <w:rPr>
          <w:b/>
          <w:bCs/>
        </w:rPr>
      </w:pPr>
    </w:p>
    <w:p w14:paraId="08B035F6" w14:textId="77777777" w:rsidR="00AB0BC8" w:rsidRPr="00CE0424" w:rsidRDefault="00AB0BC8" w:rsidP="00A04F49">
      <w:pPr>
        <w:rPr>
          <w:b/>
          <w:bCs/>
        </w:rPr>
      </w:pPr>
    </w:p>
    <w:p w14:paraId="6B12C447" w14:textId="77777777" w:rsidR="00311702" w:rsidRPr="00CE0424" w:rsidRDefault="00311702" w:rsidP="00AB0BC8"/>
    <w:p w14:paraId="4A00D48C" w14:textId="77777777" w:rsidR="00C01F33" w:rsidRPr="00CE0424" w:rsidRDefault="00C01F33" w:rsidP="006E062C"/>
    <w:p w14:paraId="1CE6E956" w14:textId="77777777" w:rsidR="00F507D1" w:rsidRPr="00CE0424" w:rsidRDefault="00F507D1" w:rsidP="00CE0424">
      <w:pPr>
        <w:pStyle w:val="Heading1"/>
      </w:pPr>
      <w:bookmarkStart w:id="13" w:name="_In-sequence_SDU_delivery"/>
      <w:bookmarkEnd w:id="13"/>
      <w:r w:rsidRPr="00CE0424">
        <w:t>References</w:t>
      </w:r>
    </w:p>
    <w:p w14:paraId="222ED62B" w14:textId="59B1D39B" w:rsidR="00B777A6" w:rsidRDefault="00B777A6" w:rsidP="00B777A6">
      <w:pPr>
        <w:pStyle w:val="Reference"/>
      </w:pPr>
      <w:bookmarkStart w:id="14" w:name="_Ref174151459"/>
      <w:bookmarkStart w:id="15" w:name="_Ref189809556"/>
      <w:r>
        <w:t xml:space="preserve">RP-193237, “New SID on NR Positioning Enhancements”, Qualcomm Incorporated, December 2019. </w:t>
      </w:r>
    </w:p>
    <w:p w14:paraId="160FB708" w14:textId="0C888AD7" w:rsidR="00936F6C" w:rsidRDefault="008706E6" w:rsidP="00B777A6">
      <w:pPr>
        <w:pStyle w:val="Reference"/>
      </w:pPr>
      <w:r>
        <w:t xml:space="preserve">Sven Fischer, </w:t>
      </w:r>
      <w:r w:rsidR="00C743A2">
        <w:t>“</w:t>
      </w:r>
      <w:r>
        <w:t>OTDOA Positioning in 3gpp LTE</w:t>
      </w:r>
      <w:r w:rsidR="00C743A2">
        <w:t>”</w:t>
      </w:r>
      <w:r>
        <w:t xml:space="preserve">, June 2014 </w:t>
      </w:r>
    </w:p>
    <w:p w14:paraId="5BFF69F4" w14:textId="37E28067" w:rsidR="008706E6" w:rsidRDefault="008706E6" w:rsidP="00B777A6">
      <w:pPr>
        <w:pStyle w:val="Reference"/>
      </w:pPr>
      <w:r>
        <w:t>Ian Sharp et al</w:t>
      </w:r>
      <w:r w:rsidR="00C743A2">
        <w:t>; “</w:t>
      </w:r>
      <w:r>
        <w:t>GDOP Analysis for Positioning System Design</w:t>
      </w:r>
      <w:r w:rsidR="00C743A2">
        <w:t>”, IEEE Vehicular Technology, September 2009</w:t>
      </w:r>
    </w:p>
    <w:p w14:paraId="42ADAC25" w14:textId="3B91CCAD" w:rsidR="005F3025" w:rsidRPr="00CE0424" w:rsidRDefault="005F3025" w:rsidP="00B777A6">
      <w:pPr>
        <w:pStyle w:val="Reference"/>
        <w:numPr>
          <w:ilvl w:val="0"/>
          <w:numId w:val="0"/>
        </w:numPr>
        <w:ind w:left="567"/>
      </w:pPr>
    </w:p>
    <w:bookmarkEnd w:id="14"/>
    <w:bookmarkEnd w:id="15"/>
    <w:p w14:paraId="1BB1DC1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93D28" w14:textId="77777777" w:rsidR="00EC29ED" w:rsidRDefault="00EC29ED">
      <w:r>
        <w:separator/>
      </w:r>
    </w:p>
  </w:endnote>
  <w:endnote w:type="continuationSeparator" w:id="0">
    <w:p w14:paraId="45616F52" w14:textId="77777777" w:rsidR="00EC29ED" w:rsidRDefault="00EC29ED">
      <w:r>
        <w:continuationSeparator/>
      </w:r>
    </w:p>
  </w:endnote>
  <w:endnote w:type="continuationNotice" w:id="1">
    <w:p w14:paraId="6A5E73F7" w14:textId="77777777" w:rsidR="00EC29ED" w:rsidRDefault="00EC2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841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60DFE" w14:textId="77777777" w:rsidR="00EC29ED" w:rsidRDefault="00EC29ED">
      <w:r>
        <w:separator/>
      </w:r>
    </w:p>
  </w:footnote>
  <w:footnote w:type="continuationSeparator" w:id="0">
    <w:p w14:paraId="08312729" w14:textId="77777777" w:rsidR="00EC29ED" w:rsidRDefault="00EC29ED">
      <w:r>
        <w:continuationSeparator/>
      </w:r>
    </w:p>
  </w:footnote>
  <w:footnote w:type="continuationNotice" w:id="1">
    <w:p w14:paraId="0DFEA9D8" w14:textId="77777777" w:rsidR="00EC29ED" w:rsidRDefault="00EC2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876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C5A0C0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5DFAB8D6"/>
    <w:lvl w:ilvl="0" w:tplc="0526D5E8">
      <w:start w:val="1"/>
      <w:numFmt w:val="decimal"/>
      <w:lvlText w:val="%1."/>
      <w:lvlJc w:val="left"/>
      <w:pPr>
        <w:tabs>
          <w:tab w:val="num" w:pos="1209"/>
        </w:tabs>
        <w:ind w:left="1209" w:hanging="360"/>
      </w:pPr>
    </w:lvl>
    <w:lvl w:ilvl="1" w:tplc="DE1A06CC">
      <w:numFmt w:val="decimal"/>
      <w:lvlText w:val=""/>
      <w:lvlJc w:val="left"/>
    </w:lvl>
    <w:lvl w:ilvl="2" w:tplc="F95E4CD6">
      <w:numFmt w:val="decimal"/>
      <w:lvlText w:val=""/>
      <w:lvlJc w:val="left"/>
    </w:lvl>
    <w:lvl w:ilvl="3" w:tplc="3DA6815E">
      <w:numFmt w:val="decimal"/>
      <w:lvlText w:val=""/>
      <w:lvlJc w:val="left"/>
    </w:lvl>
    <w:lvl w:ilvl="4" w:tplc="8DF69108">
      <w:numFmt w:val="decimal"/>
      <w:lvlText w:val=""/>
      <w:lvlJc w:val="left"/>
    </w:lvl>
    <w:lvl w:ilvl="5" w:tplc="8A36E5C4">
      <w:numFmt w:val="decimal"/>
      <w:lvlText w:val=""/>
      <w:lvlJc w:val="left"/>
    </w:lvl>
    <w:lvl w:ilvl="6" w:tplc="399A40A2">
      <w:numFmt w:val="decimal"/>
      <w:lvlText w:val=""/>
      <w:lvlJc w:val="left"/>
    </w:lvl>
    <w:lvl w:ilvl="7" w:tplc="EEBAD956">
      <w:numFmt w:val="decimal"/>
      <w:lvlText w:val=""/>
      <w:lvlJc w:val="left"/>
    </w:lvl>
    <w:lvl w:ilvl="8" w:tplc="5BA08EA6">
      <w:numFmt w:val="decimal"/>
      <w:lvlText w:val=""/>
      <w:lvlJc w:val="left"/>
    </w:lvl>
  </w:abstractNum>
  <w:abstractNum w:abstractNumId="2" w15:restartNumberingAfterBreak="0">
    <w:nsid w:val="FFFFFF7E"/>
    <w:multiLevelType w:val="hybridMultilevel"/>
    <w:tmpl w:val="8D74240A"/>
    <w:lvl w:ilvl="0" w:tplc="C9A8E9B8">
      <w:start w:val="1"/>
      <w:numFmt w:val="lowerRoman"/>
      <w:pStyle w:val="ListNumber3"/>
      <w:lvlText w:val="%1."/>
      <w:lvlJc w:val="right"/>
      <w:pPr>
        <w:ind w:left="926" w:hanging="360"/>
      </w:pPr>
    </w:lvl>
    <w:lvl w:ilvl="1" w:tplc="FEBAED2A">
      <w:numFmt w:val="decimal"/>
      <w:lvlText w:val=""/>
      <w:lvlJc w:val="left"/>
    </w:lvl>
    <w:lvl w:ilvl="2" w:tplc="E2DA49AA">
      <w:numFmt w:val="decimal"/>
      <w:lvlText w:val=""/>
      <w:lvlJc w:val="left"/>
    </w:lvl>
    <w:lvl w:ilvl="3" w:tplc="8872286A">
      <w:numFmt w:val="decimal"/>
      <w:lvlText w:val=""/>
      <w:lvlJc w:val="left"/>
    </w:lvl>
    <w:lvl w:ilvl="4" w:tplc="B8540EF8">
      <w:numFmt w:val="decimal"/>
      <w:lvlText w:val=""/>
      <w:lvlJc w:val="left"/>
    </w:lvl>
    <w:lvl w:ilvl="5" w:tplc="A41E810A">
      <w:numFmt w:val="decimal"/>
      <w:lvlText w:val=""/>
      <w:lvlJc w:val="left"/>
    </w:lvl>
    <w:lvl w:ilvl="6" w:tplc="EEEA4B04">
      <w:numFmt w:val="decimal"/>
      <w:lvlText w:val=""/>
      <w:lvlJc w:val="left"/>
    </w:lvl>
    <w:lvl w:ilvl="7" w:tplc="2D626A1E">
      <w:numFmt w:val="decimal"/>
      <w:lvlText w:val=""/>
      <w:lvlJc w:val="left"/>
    </w:lvl>
    <w:lvl w:ilvl="8" w:tplc="9F3AF9BC">
      <w:numFmt w:val="decimal"/>
      <w:lvlText w:val=""/>
      <w:lvlJc w:val="left"/>
    </w:lvl>
  </w:abstractNum>
  <w:abstractNum w:abstractNumId="3" w15:restartNumberingAfterBreak="0">
    <w:nsid w:val="02552047"/>
    <w:multiLevelType w:val="multilevel"/>
    <w:tmpl w:val="6E1CC2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B77E6"/>
    <w:multiLevelType w:val="hybridMultilevel"/>
    <w:tmpl w:val="EA869486"/>
    <w:lvl w:ilvl="0" w:tplc="4DB2F922">
      <w:start w:val="1"/>
      <w:numFmt w:val="bullet"/>
      <w:lvlText w:val="●"/>
      <w:lvlJc w:val="left"/>
      <w:pPr>
        <w:tabs>
          <w:tab w:val="num" w:pos="720"/>
        </w:tabs>
        <w:ind w:left="720" w:hanging="360"/>
      </w:pPr>
      <w:rPr>
        <w:rFonts w:ascii="Ericsson Hilda" w:hAnsi="Ericsson Hilda" w:hint="default"/>
      </w:rPr>
    </w:lvl>
    <w:lvl w:ilvl="1" w:tplc="1114AD2E" w:tentative="1">
      <w:start w:val="1"/>
      <w:numFmt w:val="bullet"/>
      <w:lvlText w:val="●"/>
      <w:lvlJc w:val="left"/>
      <w:pPr>
        <w:tabs>
          <w:tab w:val="num" w:pos="1440"/>
        </w:tabs>
        <w:ind w:left="1440" w:hanging="360"/>
      </w:pPr>
      <w:rPr>
        <w:rFonts w:ascii="Ericsson Hilda" w:hAnsi="Ericsson Hilda" w:hint="default"/>
      </w:rPr>
    </w:lvl>
    <w:lvl w:ilvl="2" w:tplc="28CC9FF8" w:tentative="1">
      <w:start w:val="1"/>
      <w:numFmt w:val="bullet"/>
      <w:lvlText w:val="●"/>
      <w:lvlJc w:val="left"/>
      <w:pPr>
        <w:tabs>
          <w:tab w:val="num" w:pos="2160"/>
        </w:tabs>
        <w:ind w:left="2160" w:hanging="360"/>
      </w:pPr>
      <w:rPr>
        <w:rFonts w:ascii="Ericsson Hilda" w:hAnsi="Ericsson Hilda" w:hint="default"/>
      </w:rPr>
    </w:lvl>
    <w:lvl w:ilvl="3" w:tplc="95C2AABE" w:tentative="1">
      <w:start w:val="1"/>
      <w:numFmt w:val="bullet"/>
      <w:lvlText w:val="●"/>
      <w:lvlJc w:val="left"/>
      <w:pPr>
        <w:tabs>
          <w:tab w:val="num" w:pos="2880"/>
        </w:tabs>
        <w:ind w:left="2880" w:hanging="360"/>
      </w:pPr>
      <w:rPr>
        <w:rFonts w:ascii="Ericsson Hilda" w:hAnsi="Ericsson Hilda" w:hint="default"/>
      </w:rPr>
    </w:lvl>
    <w:lvl w:ilvl="4" w:tplc="D30E4D18" w:tentative="1">
      <w:start w:val="1"/>
      <w:numFmt w:val="bullet"/>
      <w:lvlText w:val="●"/>
      <w:lvlJc w:val="left"/>
      <w:pPr>
        <w:tabs>
          <w:tab w:val="num" w:pos="3600"/>
        </w:tabs>
        <w:ind w:left="3600" w:hanging="360"/>
      </w:pPr>
      <w:rPr>
        <w:rFonts w:ascii="Ericsson Hilda" w:hAnsi="Ericsson Hilda" w:hint="default"/>
      </w:rPr>
    </w:lvl>
    <w:lvl w:ilvl="5" w:tplc="22766D24" w:tentative="1">
      <w:start w:val="1"/>
      <w:numFmt w:val="bullet"/>
      <w:lvlText w:val="●"/>
      <w:lvlJc w:val="left"/>
      <w:pPr>
        <w:tabs>
          <w:tab w:val="num" w:pos="4320"/>
        </w:tabs>
        <w:ind w:left="4320" w:hanging="360"/>
      </w:pPr>
      <w:rPr>
        <w:rFonts w:ascii="Ericsson Hilda" w:hAnsi="Ericsson Hilda" w:hint="default"/>
      </w:rPr>
    </w:lvl>
    <w:lvl w:ilvl="6" w:tplc="905A3534" w:tentative="1">
      <w:start w:val="1"/>
      <w:numFmt w:val="bullet"/>
      <w:lvlText w:val="●"/>
      <w:lvlJc w:val="left"/>
      <w:pPr>
        <w:tabs>
          <w:tab w:val="num" w:pos="5040"/>
        </w:tabs>
        <w:ind w:left="5040" w:hanging="360"/>
      </w:pPr>
      <w:rPr>
        <w:rFonts w:ascii="Ericsson Hilda" w:hAnsi="Ericsson Hilda" w:hint="default"/>
      </w:rPr>
    </w:lvl>
    <w:lvl w:ilvl="7" w:tplc="6D0A9D30" w:tentative="1">
      <w:start w:val="1"/>
      <w:numFmt w:val="bullet"/>
      <w:lvlText w:val="●"/>
      <w:lvlJc w:val="left"/>
      <w:pPr>
        <w:tabs>
          <w:tab w:val="num" w:pos="5760"/>
        </w:tabs>
        <w:ind w:left="5760" w:hanging="360"/>
      </w:pPr>
      <w:rPr>
        <w:rFonts w:ascii="Ericsson Hilda" w:hAnsi="Ericsson Hilda" w:hint="default"/>
      </w:rPr>
    </w:lvl>
    <w:lvl w:ilvl="8" w:tplc="A9360A6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753A59"/>
    <w:multiLevelType w:val="hybridMultilevel"/>
    <w:tmpl w:val="AB38232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B79C5"/>
    <w:multiLevelType w:val="hybridMultilevel"/>
    <w:tmpl w:val="C5B06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A20EE"/>
    <w:multiLevelType w:val="hybridMultilevel"/>
    <w:tmpl w:val="05200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AA8C06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E10CCE"/>
    <w:multiLevelType w:val="hybridMultilevel"/>
    <w:tmpl w:val="E752DB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7B7467"/>
    <w:multiLevelType w:val="hybridMultilevel"/>
    <w:tmpl w:val="D8AE21DE"/>
    <w:lvl w:ilvl="0" w:tplc="A9B61416">
      <w:start w:val="1"/>
      <w:numFmt w:val="bullet"/>
      <w:lvlText w:val="●"/>
      <w:lvlJc w:val="left"/>
      <w:pPr>
        <w:tabs>
          <w:tab w:val="num" w:pos="720"/>
        </w:tabs>
        <w:ind w:left="720" w:hanging="360"/>
      </w:pPr>
      <w:rPr>
        <w:rFonts w:ascii="Ericsson Hilda" w:hAnsi="Ericsson Hilda" w:hint="default"/>
      </w:rPr>
    </w:lvl>
    <w:lvl w:ilvl="1" w:tplc="1128A25C" w:tentative="1">
      <w:start w:val="1"/>
      <w:numFmt w:val="bullet"/>
      <w:lvlText w:val="●"/>
      <w:lvlJc w:val="left"/>
      <w:pPr>
        <w:tabs>
          <w:tab w:val="num" w:pos="1440"/>
        </w:tabs>
        <w:ind w:left="1440" w:hanging="360"/>
      </w:pPr>
      <w:rPr>
        <w:rFonts w:ascii="Ericsson Hilda" w:hAnsi="Ericsson Hilda" w:hint="default"/>
      </w:rPr>
    </w:lvl>
    <w:lvl w:ilvl="2" w:tplc="166A6314" w:tentative="1">
      <w:start w:val="1"/>
      <w:numFmt w:val="bullet"/>
      <w:lvlText w:val="●"/>
      <w:lvlJc w:val="left"/>
      <w:pPr>
        <w:tabs>
          <w:tab w:val="num" w:pos="2160"/>
        </w:tabs>
        <w:ind w:left="2160" w:hanging="360"/>
      </w:pPr>
      <w:rPr>
        <w:rFonts w:ascii="Ericsson Hilda" w:hAnsi="Ericsson Hilda" w:hint="default"/>
      </w:rPr>
    </w:lvl>
    <w:lvl w:ilvl="3" w:tplc="8B1E7276" w:tentative="1">
      <w:start w:val="1"/>
      <w:numFmt w:val="bullet"/>
      <w:lvlText w:val="●"/>
      <w:lvlJc w:val="left"/>
      <w:pPr>
        <w:tabs>
          <w:tab w:val="num" w:pos="2880"/>
        </w:tabs>
        <w:ind w:left="2880" w:hanging="360"/>
      </w:pPr>
      <w:rPr>
        <w:rFonts w:ascii="Ericsson Hilda" w:hAnsi="Ericsson Hilda" w:hint="default"/>
      </w:rPr>
    </w:lvl>
    <w:lvl w:ilvl="4" w:tplc="8F24D7F4" w:tentative="1">
      <w:start w:val="1"/>
      <w:numFmt w:val="bullet"/>
      <w:lvlText w:val="●"/>
      <w:lvlJc w:val="left"/>
      <w:pPr>
        <w:tabs>
          <w:tab w:val="num" w:pos="3600"/>
        </w:tabs>
        <w:ind w:left="3600" w:hanging="360"/>
      </w:pPr>
      <w:rPr>
        <w:rFonts w:ascii="Ericsson Hilda" w:hAnsi="Ericsson Hilda" w:hint="default"/>
      </w:rPr>
    </w:lvl>
    <w:lvl w:ilvl="5" w:tplc="2514C4FE" w:tentative="1">
      <w:start w:val="1"/>
      <w:numFmt w:val="bullet"/>
      <w:lvlText w:val="●"/>
      <w:lvlJc w:val="left"/>
      <w:pPr>
        <w:tabs>
          <w:tab w:val="num" w:pos="4320"/>
        </w:tabs>
        <w:ind w:left="4320" w:hanging="360"/>
      </w:pPr>
      <w:rPr>
        <w:rFonts w:ascii="Ericsson Hilda" w:hAnsi="Ericsson Hilda" w:hint="default"/>
      </w:rPr>
    </w:lvl>
    <w:lvl w:ilvl="6" w:tplc="F2DA3E72" w:tentative="1">
      <w:start w:val="1"/>
      <w:numFmt w:val="bullet"/>
      <w:lvlText w:val="●"/>
      <w:lvlJc w:val="left"/>
      <w:pPr>
        <w:tabs>
          <w:tab w:val="num" w:pos="5040"/>
        </w:tabs>
        <w:ind w:left="5040" w:hanging="360"/>
      </w:pPr>
      <w:rPr>
        <w:rFonts w:ascii="Ericsson Hilda" w:hAnsi="Ericsson Hilda" w:hint="default"/>
      </w:rPr>
    </w:lvl>
    <w:lvl w:ilvl="7" w:tplc="FD86A156" w:tentative="1">
      <w:start w:val="1"/>
      <w:numFmt w:val="bullet"/>
      <w:lvlText w:val="●"/>
      <w:lvlJc w:val="left"/>
      <w:pPr>
        <w:tabs>
          <w:tab w:val="num" w:pos="5760"/>
        </w:tabs>
        <w:ind w:left="5760" w:hanging="360"/>
      </w:pPr>
      <w:rPr>
        <w:rFonts w:ascii="Ericsson Hilda" w:hAnsi="Ericsson Hilda" w:hint="default"/>
      </w:rPr>
    </w:lvl>
    <w:lvl w:ilvl="8" w:tplc="FF305706"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7"/>
  </w:num>
  <w:num w:numId="18">
    <w:abstractNumId w:val="8"/>
  </w:num>
  <w:num w:numId="19">
    <w:abstractNumId w:val="5"/>
  </w:num>
  <w:num w:numId="20">
    <w:abstractNumId w:val="27"/>
  </w:num>
  <w:num w:numId="21">
    <w:abstractNumId w:val="15"/>
  </w:num>
  <w:num w:numId="22">
    <w:abstractNumId w:val="26"/>
  </w:num>
  <w:num w:numId="23">
    <w:abstractNumId w:val="28"/>
  </w:num>
  <w:num w:numId="24">
    <w:abstractNumId w:val="6"/>
  </w:num>
  <w:num w:numId="25">
    <w:abstractNumId w:val="4"/>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80"/>
    <w:rsid w:val="000006E1"/>
    <w:rsid w:val="00002A37"/>
    <w:rsid w:val="0000564C"/>
    <w:rsid w:val="00006446"/>
    <w:rsid w:val="00006896"/>
    <w:rsid w:val="00006CCB"/>
    <w:rsid w:val="0000795C"/>
    <w:rsid w:val="00007CDC"/>
    <w:rsid w:val="00011B28"/>
    <w:rsid w:val="00015D15"/>
    <w:rsid w:val="0002564D"/>
    <w:rsid w:val="00025ECA"/>
    <w:rsid w:val="00026DC4"/>
    <w:rsid w:val="000325B8"/>
    <w:rsid w:val="00034C15"/>
    <w:rsid w:val="00036BA1"/>
    <w:rsid w:val="000422E2"/>
    <w:rsid w:val="00042F22"/>
    <w:rsid w:val="000444EF"/>
    <w:rsid w:val="00052A07"/>
    <w:rsid w:val="000534E3"/>
    <w:rsid w:val="0005606A"/>
    <w:rsid w:val="000561C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D2"/>
    <w:rsid w:val="000A1B7B"/>
    <w:rsid w:val="000A56F2"/>
    <w:rsid w:val="000B2719"/>
    <w:rsid w:val="000B3A8F"/>
    <w:rsid w:val="000B4AB9"/>
    <w:rsid w:val="000B58C3"/>
    <w:rsid w:val="000B61E9"/>
    <w:rsid w:val="000C12D3"/>
    <w:rsid w:val="000C165A"/>
    <w:rsid w:val="000C2E19"/>
    <w:rsid w:val="000C409F"/>
    <w:rsid w:val="000D0D07"/>
    <w:rsid w:val="000D2D0F"/>
    <w:rsid w:val="000D41E8"/>
    <w:rsid w:val="000D476A"/>
    <w:rsid w:val="000D4797"/>
    <w:rsid w:val="000E0527"/>
    <w:rsid w:val="000E1E92"/>
    <w:rsid w:val="000F06D6"/>
    <w:rsid w:val="000F0EB1"/>
    <w:rsid w:val="000F1106"/>
    <w:rsid w:val="000F3BE9"/>
    <w:rsid w:val="000F3F6C"/>
    <w:rsid w:val="000F6DF3"/>
    <w:rsid w:val="001005FF"/>
    <w:rsid w:val="001062FB"/>
    <w:rsid w:val="001063E6"/>
    <w:rsid w:val="00113CF4"/>
    <w:rsid w:val="00114ACC"/>
    <w:rsid w:val="001153EA"/>
    <w:rsid w:val="00115643"/>
    <w:rsid w:val="00116765"/>
    <w:rsid w:val="001219F5"/>
    <w:rsid w:val="00121A20"/>
    <w:rsid w:val="0012377F"/>
    <w:rsid w:val="00124314"/>
    <w:rsid w:val="00124394"/>
    <w:rsid w:val="00125840"/>
    <w:rsid w:val="00126B4A"/>
    <w:rsid w:val="0013236B"/>
    <w:rsid w:val="00132FD0"/>
    <w:rsid w:val="001344C0"/>
    <w:rsid w:val="001346FA"/>
    <w:rsid w:val="0013499A"/>
    <w:rsid w:val="00135252"/>
    <w:rsid w:val="0013618D"/>
    <w:rsid w:val="00137AB5"/>
    <w:rsid w:val="00137F0B"/>
    <w:rsid w:val="0014308C"/>
    <w:rsid w:val="00145B0E"/>
    <w:rsid w:val="001515C9"/>
    <w:rsid w:val="00151E23"/>
    <w:rsid w:val="001526E0"/>
    <w:rsid w:val="001551B5"/>
    <w:rsid w:val="001659C1"/>
    <w:rsid w:val="00173A8E"/>
    <w:rsid w:val="0017502C"/>
    <w:rsid w:val="0018143F"/>
    <w:rsid w:val="00181FF8"/>
    <w:rsid w:val="0018704C"/>
    <w:rsid w:val="00190AC1"/>
    <w:rsid w:val="0019240C"/>
    <w:rsid w:val="0019341A"/>
    <w:rsid w:val="00195E55"/>
    <w:rsid w:val="00197DF9"/>
    <w:rsid w:val="001A1987"/>
    <w:rsid w:val="001A2564"/>
    <w:rsid w:val="001A6173"/>
    <w:rsid w:val="001A6CBA"/>
    <w:rsid w:val="001B0D97"/>
    <w:rsid w:val="001B22B8"/>
    <w:rsid w:val="001B4B5C"/>
    <w:rsid w:val="001B5A5D"/>
    <w:rsid w:val="001C1CE5"/>
    <w:rsid w:val="001C2F8F"/>
    <w:rsid w:val="001C3D2A"/>
    <w:rsid w:val="001D51BA"/>
    <w:rsid w:val="001D53E7"/>
    <w:rsid w:val="001D6342"/>
    <w:rsid w:val="001D6D53"/>
    <w:rsid w:val="001E0A7E"/>
    <w:rsid w:val="001E58E2"/>
    <w:rsid w:val="001E7AED"/>
    <w:rsid w:val="001F3916"/>
    <w:rsid w:val="001F54C5"/>
    <w:rsid w:val="001F662C"/>
    <w:rsid w:val="001F7074"/>
    <w:rsid w:val="00200490"/>
    <w:rsid w:val="00201F3A"/>
    <w:rsid w:val="00203F96"/>
    <w:rsid w:val="0020668A"/>
    <w:rsid w:val="002069B2"/>
    <w:rsid w:val="00207FA3"/>
    <w:rsid w:val="0021222B"/>
    <w:rsid w:val="00214DA8"/>
    <w:rsid w:val="00215423"/>
    <w:rsid w:val="002158FA"/>
    <w:rsid w:val="002168C3"/>
    <w:rsid w:val="00220600"/>
    <w:rsid w:val="002224DB"/>
    <w:rsid w:val="00223FCB"/>
    <w:rsid w:val="00224F8F"/>
    <w:rsid w:val="002252C3"/>
    <w:rsid w:val="00225C54"/>
    <w:rsid w:val="00230765"/>
    <w:rsid w:val="00230D18"/>
    <w:rsid w:val="002319E4"/>
    <w:rsid w:val="002325C6"/>
    <w:rsid w:val="00235632"/>
    <w:rsid w:val="00235872"/>
    <w:rsid w:val="00237319"/>
    <w:rsid w:val="002379F4"/>
    <w:rsid w:val="00241559"/>
    <w:rsid w:val="002435B3"/>
    <w:rsid w:val="002458EB"/>
    <w:rsid w:val="002500C8"/>
    <w:rsid w:val="00257543"/>
    <w:rsid w:val="002617E7"/>
    <w:rsid w:val="00264228"/>
    <w:rsid w:val="00264334"/>
    <w:rsid w:val="0026473E"/>
    <w:rsid w:val="00266214"/>
    <w:rsid w:val="002670A7"/>
    <w:rsid w:val="00267C83"/>
    <w:rsid w:val="00270F89"/>
    <w:rsid w:val="0027144F"/>
    <w:rsid w:val="00271813"/>
    <w:rsid w:val="00271F3A"/>
    <w:rsid w:val="00273278"/>
    <w:rsid w:val="002737F4"/>
    <w:rsid w:val="002805F5"/>
    <w:rsid w:val="00280751"/>
    <w:rsid w:val="0028157E"/>
    <w:rsid w:val="0028280A"/>
    <w:rsid w:val="00286837"/>
    <w:rsid w:val="00286ACD"/>
    <w:rsid w:val="00287838"/>
    <w:rsid w:val="002907B5"/>
    <w:rsid w:val="00290EF7"/>
    <w:rsid w:val="00292EB7"/>
    <w:rsid w:val="00295D68"/>
    <w:rsid w:val="00296227"/>
    <w:rsid w:val="00296F44"/>
    <w:rsid w:val="0029777D"/>
    <w:rsid w:val="002A055E"/>
    <w:rsid w:val="002A1D4E"/>
    <w:rsid w:val="002A2869"/>
    <w:rsid w:val="002B24D6"/>
    <w:rsid w:val="002B3D0F"/>
    <w:rsid w:val="002C41E6"/>
    <w:rsid w:val="002C4FB0"/>
    <w:rsid w:val="002C783F"/>
    <w:rsid w:val="002D071A"/>
    <w:rsid w:val="002D34B2"/>
    <w:rsid w:val="002D48B0"/>
    <w:rsid w:val="002D5B37"/>
    <w:rsid w:val="002D7637"/>
    <w:rsid w:val="002E11CE"/>
    <w:rsid w:val="002E17F2"/>
    <w:rsid w:val="002E220A"/>
    <w:rsid w:val="002E7CAE"/>
    <w:rsid w:val="002F2771"/>
    <w:rsid w:val="002F2EA7"/>
    <w:rsid w:val="002F37A9"/>
    <w:rsid w:val="00301CE6"/>
    <w:rsid w:val="0030256B"/>
    <w:rsid w:val="00304965"/>
    <w:rsid w:val="0030501F"/>
    <w:rsid w:val="00307BA1"/>
    <w:rsid w:val="00311702"/>
    <w:rsid w:val="00311E82"/>
    <w:rsid w:val="00312E76"/>
    <w:rsid w:val="00313FD6"/>
    <w:rsid w:val="003143BD"/>
    <w:rsid w:val="00315363"/>
    <w:rsid w:val="003203ED"/>
    <w:rsid w:val="0032057E"/>
    <w:rsid w:val="00322C9F"/>
    <w:rsid w:val="00324D23"/>
    <w:rsid w:val="0033082E"/>
    <w:rsid w:val="00331751"/>
    <w:rsid w:val="0033263B"/>
    <w:rsid w:val="00334261"/>
    <w:rsid w:val="00334579"/>
    <w:rsid w:val="00335858"/>
    <w:rsid w:val="00336BDA"/>
    <w:rsid w:val="00342BD7"/>
    <w:rsid w:val="00346DB5"/>
    <w:rsid w:val="003477B1"/>
    <w:rsid w:val="00357380"/>
    <w:rsid w:val="003602D9"/>
    <w:rsid w:val="003604CE"/>
    <w:rsid w:val="0036093A"/>
    <w:rsid w:val="00361675"/>
    <w:rsid w:val="00370E47"/>
    <w:rsid w:val="00372143"/>
    <w:rsid w:val="003742AC"/>
    <w:rsid w:val="00377CE1"/>
    <w:rsid w:val="00385BF0"/>
    <w:rsid w:val="00387A6A"/>
    <w:rsid w:val="0039108F"/>
    <w:rsid w:val="003939FF"/>
    <w:rsid w:val="003964F9"/>
    <w:rsid w:val="003A2223"/>
    <w:rsid w:val="003A2A0F"/>
    <w:rsid w:val="003A2BD0"/>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A42"/>
    <w:rsid w:val="003D5B1F"/>
    <w:rsid w:val="003E15FA"/>
    <w:rsid w:val="003E1DFD"/>
    <w:rsid w:val="003E55E4"/>
    <w:rsid w:val="003E74E3"/>
    <w:rsid w:val="003E7FF3"/>
    <w:rsid w:val="003F05C7"/>
    <w:rsid w:val="003F2CD4"/>
    <w:rsid w:val="003F5E61"/>
    <w:rsid w:val="003F6AD1"/>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000"/>
    <w:rsid w:val="00437447"/>
    <w:rsid w:val="00441A92"/>
    <w:rsid w:val="004431DC"/>
    <w:rsid w:val="0044442C"/>
    <w:rsid w:val="00444F56"/>
    <w:rsid w:val="00446488"/>
    <w:rsid w:val="004517AA"/>
    <w:rsid w:val="00452CAC"/>
    <w:rsid w:val="00457565"/>
    <w:rsid w:val="00457B71"/>
    <w:rsid w:val="004634B8"/>
    <w:rsid w:val="004669E2"/>
    <w:rsid w:val="00470C31"/>
    <w:rsid w:val="00471DE0"/>
    <w:rsid w:val="004734D0"/>
    <w:rsid w:val="0047556B"/>
    <w:rsid w:val="00477768"/>
    <w:rsid w:val="00492BC5"/>
    <w:rsid w:val="004964F1"/>
    <w:rsid w:val="004A16BC"/>
    <w:rsid w:val="004A2331"/>
    <w:rsid w:val="004A2B94"/>
    <w:rsid w:val="004A7009"/>
    <w:rsid w:val="004B29CC"/>
    <w:rsid w:val="004B6F6A"/>
    <w:rsid w:val="004B7C0C"/>
    <w:rsid w:val="004C3898"/>
    <w:rsid w:val="004C570F"/>
    <w:rsid w:val="004D158D"/>
    <w:rsid w:val="004D36B1"/>
    <w:rsid w:val="004D7EBD"/>
    <w:rsid w:val="004E2680"/>
    <w:rsid w:val="004E28F9"/>
    <w:rsid w:val="004E462E"/>
    <w:rsid w:val="004E56DC"/>
    <w:rsid w:val="004E76F4"/>
    <w:rsid w:val="004E7F67"/>
    <w:rsid w:val="004F0B4E"/>
    <w:rsid w:val="004F0B6C"/>
    <w:rsid w:val="004F2078"/>
    <w:rsid w:val="004F4DA3"/>
    <w:rsid w:val="00504B9D"/>
    <w:rsid w:val="00506557"/>
    <w:rsid w:val="0050677A"/>
    <w:rsid w:val="005108D8"/>
    <w:rsid w:val="005116F9"/>
    <w:rsid w:val="005153A7"/>
    <w:rsid w:val="00521321"/>
    <w:rsid w:val="005219CF"/>
    <w:rsid w:val="005341DB"/>
    <w:rsid w:val="00534B59"/>
    <w:rsid w:val="00536759"/>
    <w:rsid w:val="00537C62"/>
    <w:rsid w:val="005410F7"/>
    <w:rsid w:val="00546970"/>
    <w:rsid w:val="005536F9"/>
    <w:rsid w:val="00554E19"/>
    <w:rsid w:val="0056121F"/>
    <w:rsid w:val="00572505"/>
    <w:rsid w:val="00582809"/>
    <w:rsid w:val="00582B9C"/>
    <w:rsid w:val="0058798C"/>
    <w:rsid w:val="005900FA"/>
    <w:rsid w:val="005935A4"/>
    <w:rsid w:val="005948C2"/>
    <w:rsid w:val="00595DCA"/>
    <w:rsid w:val="0059779B"/>
    <w:rsid w:val="005A209A"/>
    <w:rsid w:val="005A22E5"/>
    <w:rsid w:val="005A662D"/>
    <w:rsid w:val="005B1409"/>
    <w:rsid w:val="005B35D7"/>
    <w:rsid w:val="005B392A"/>
    <w:rsid w:val="005B3AA3"/>
    <w:rsid w:val="005B5BA7"/>
    <w:rsid w:val="005B6F83"/>
    <w:rsid w:val="005C74FB"/>
    <w:rsid w:val="005D00D8"/>
    <w:rsid w:val="005D1602"/>
    <w:rsid w:val="005E1C40"/>
    <w:rsid w:val="005E3080"/>
    <w:rsid w:val="005E385F"/>
    <w:rsid w:val="005E4C76"/>
    <w:rsid w:val="005E5B81"/>
    <w:rsid w:val="005F0A3F"/>
    <w:rsid w:val="005F2CB1"/>
    <w:rsid w:val="005F2D72"/>
    <w:rsid w:val="005F3025"/>
    <w:rsid w:val="005F618C"/>
    <w:rsid w:val="005F70BD"/>
    <w:rsid w:val="006001F5"/>
    <w:rsid w:val="0060283C"/>
    <w:rsid w:val="00604F14"/>
    <w:rsid w:val="00611B83"/>
    <w:rsid w:val="00613257"/>
    <w:rsid w:val="00620A71"/>
    <w:rsid w:val="00620D80"/>
    <w:rsid w:val="006234A6"/>
    <w:rsid w:val="00624273"/>
    <w:rsid w:val="006244AC"/>
    <w:rsid w:val="00625950"/>
    <w:rsid w:val="00626107"/>
    <w:rsid w:val="00630001"/>
    <w:rsid w:val="006311B3"/>
    <w:rsid w:val="0063284C"/>
    <w:rsid w:val="0063544D"/>
    <w:rsid w:val="00636398"/>
    <w:rsid w:val="006368D3"/>
    <w:rsid w:val="006377EC"/>
    <w:rsid w:val="0064134F"/>
    <w:rsid w:val="0064151F"/>
    <w:rsid w:val="00641533"/>
    <w:rsid w:val="0064208D"/>
    <w:rsid w:val="00643475"/>
    <w:rsid w:val="0064396A"/>
    <w:rsid w:val="0064624E"/>
    <w:rsid w:val="0064632A"/>
    <w:rsid w:val="00650AB9"/>
    <w:rsid w:val="00655733"/>
    <w:rsid w:val="00655ACD"/>
    <w:rsid w:val="00656A92"/>
    <w:rsid w:val="00656DDE"/>
    <w:rsid w:val="0066011D"/>
    <w:rsid w:val="0066042C"/>
    <w:rsid w:val="006607C0"/>
    <w:rsid w:val="006613A6"/>
    <w:rsid w:val="006627A2"/>
    <w:rsid w:val="006633D1"/>
    <w:rsid w:val="006634E6"/>
    <w:rsid w:val="006655EE"/>
    <w:rsid w:val="00667E95"/>
    <w:rsid w:val="00667EE7"/>
    <w:rsid w:val="00670922"/>
    <w:rsid w:val="00670BE1"/>
    <w:rsid w:val="0067218F"/>
    <w:rsid w:val="006741F2"/>
    <w:rsid w:val="00674CC3"/>
    <w:rsid w:val="00675C72"/>
    <w:rsid w:val="006771F9"/>
    <w:rsid w:val="006776D7"/>
    <w:rsid w:val="00681003"/>
    <w:rsid w:val="006817C9"/>
    <w:rsid w:val="00683ECE"/>
    <w:rsid w:val="00695FC2"/>
    <w:rsid w:val="0069679E"/>
    <w:rsid w:val="00696949"/>
    <w:rsid w:val="00697052"/>
    <w:rsid w:val="006A46FB"/>
    <w:rsid w:val="006A5E28"/>
    <w:rsid w:val="006A697B"/>
    <w:rsid w:val="006A7AFF"/>
    <w:rsid w:val="006B1816"/>
    <w:rsid w:val="006B2099"/>
    <w:rsid w:val="006B50CF"/>
    <w:rsid w:val="006C03B8"/>
    <w:rsid w:val="006C25E4"/>
    <w:rsid w:val="006C48EC"/>
    <w:rsid w:val="006C5EC9"/>
    <w:rsid w:val="006C6059"/>
    <w:rsid w:val="006C7522"/>
    <w:rsid w:val="006D0A34"/>
    <w:rsid w:val="006D6F08"/>
    <w:rsid w:val="006E062C"/>
    <w:rsid w:val="006E1C82"/>
    <w:rsid w:val="006E28B7"/>
    <w:rsid w:val="006E2A9B"/>
    <w:rsid w:val="006E3310"/>
    <w:rsid w:val="006E4E39"/>
    <w:rsid w:val="006E565E"/>
    <w:rsid w:val="006E673D"/>
    <w:rsid w:val="006E6EB3"/>
    <w:rsid w:val="006E7D3B"/>
    <w:rsid w:val="006F1B70"/>
    <w:rsid w:val="006F341D"/>
    <w:rsid w:val="006F3CDE"/>
    <w:rsid w:val="006F58D4"/>
    <w:rsid w:val="006F6582"/>
    <w:rsid w:val="0070346E"/>
    <w:rsid w:val="00704EDB"/>
    <w:rsid w:val="00706101"/>
    <w:rsid w:val="00707072"/>
    <w:rsid w:val="00707D61"/>
    <w:rsid w:val="007107D3"/>
    <w:rsid w:val="0071151B"/>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05B5"/>
    <w:rsid w:val="007729A2"/>
    <w:rsid w:val="007755F2"/>
    <w:rsid w:val="00776971"/>
    <w:rsid w:val="007804F3"/>
    <w:rsid w:val="00780A80"/>
    <w:rsid w:val="0078177E"/>
    <w:rsid w:val="007826FE"/>
    <w:rsid w:val="0078304C"/>
    <w:rsid w:val="00783673"/>
    <w:rsid w:val="00785490"/>
    <w:rsid w:val="00785E73"/>
    <w:rsid w:val="00791415"/>
    <w:rsid w:val="007925EA"/>
    <w:rsid w:val="00793CD8"/>
    <w:rsid w:val="00795C92"/>
    <w:rsid w:val="00796231"/>
    <w:rsid w:val="007A1CB3"/>
    <w:rsid w:val="007A306F"/>
    <w:rsid w:val="007A3070"/>
    <w:rsid w:val="007A43A6"/>
    <w:rsid w:val="007A58A6"/>
    <w:rsid w:val="007B3D2D"/>
    <w:rsid w:val="007B50AE"/>
    <w:rsid w:val="007B51DF"/>
    <w:rsid w:val="007C05DD"/>
    <w:rsid w:val="007C2A68"/>
    <w:rsid w:val="007C3D18"/>
    <w:rsid w:val="007C60BF"/>
    <w:rsid w:val="007C6A07"/>
    <w:rsid w:val="007C75A1"/>
    <w:rsid w:val="007C77A5"/>
    <w:rsid w:val="007D04E5"/>
    <w:rsid w:val="007D4DA5"/>
    <w:rsid w:val="007D5901"/>
    <w:rsid w:val="007D7526"/>
    <w:rsid w:val="007E24B8"/>
    <w:rsid w:val="007E4610"/>
    <w:rsid w:val="007E4715"/>
    <w:rsid w:val="007E505B"/>
    <w:rsid w:val="007E5924"/>
    <w:rsid w:val="007E6DBF"/>
    <w:rsid w:val="007E7091"/>
    <w:rsid w:val="007F1D5D"/>
    <w:rsid w:val="00803FAE"/>
    <w:rsid w:val="0080605F"/>
    <w:rsid w:val="00807786"/>
    <w:rsid w:val="00811FCB"/>
    <w:rsid w:val="008158D6"/>
    <w:rsid w:val="00817196"/>
    <w:rsid w:val="00820F99"/>
    <w:rsid w:val="0082308F"/>
    <w:rsid w:val="008235DB"/>
    <w:rsid w:val="00824AB4"/>
    <w:rsid w:val="00825C42"/>
    <w:rsid w:val="00825D25"/>
    <w:rsid w:val="00827D6F"/>
    <w:rsid w:val="00836A7C"/>
    <w:rsid w:val="008376AC"/>
    <w:rsid w:val="008444E8"/>
    <w:rsid w:val="0084474E"/>
    <w:rsid w:val="00844E80"/>
    <w:rsid w:val="00846756"/>
    <w:rsid w:val="00846FE7"/>
    <w:rsid w:val="00856911"/>
    <w:rsid w:val="00856E8D"/>
    <w:rsid w:val="008642FA"/>
    <w:rsid w:val="008677FD"/>
    <w:rsid w:val="008706D4"/>
    <w:rsid w:val="008706E6"/>
    <w:rsid w:val="00870F8A"/>
    <w:rsid w:val="008719A4"/>
    <w:rsid w:val="00871D23"/>
    <w:rsid w:val="00874312"/>
    <w:rsid w:val="0087437C"/>
    <w:rsid w:val="00875216"/>
    <w:rsid w:val="00875CD7"/>
    <w:rsid w:val="00876B4D"/>
    <w:rsid w:val="00877F18"/>
    <w:rsid w:val="00887177"/>
    <w:rsid w:val="008907C4"/>
    <w:rsid w:val="00893367"/>
    <w:rsid w:val="008941E3"/>
    <w:rsid w:val="0089433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C57"/>
    <w:rsid w:val="008D34F1"/>
    <w:rsid w:val="008D39D8"/>
    <w:rsid w:val="008D6D1A"/>
    <w:rsid w:val="008E065E"/>
    <w:rsid w:val="008E0927"/>
    <w:rsid w:val="008E1909"/>
    <w:rsid w:val="008E1E8C"/>
    <w:rsid w:val="008E3752"/>
    <w:rsid w:val="008E6BF5"/>
    <w:rsid w:val="008F130C"/>
    <w:rsid w:val="008F1EAB"/>
    <w:rsid w:val="008F33DC"/>
    <w:rsid w:val="008F477F"/>
    <w:rsid w:val="0090019F"/>
    <w:rsid w:val="00900AC3"/>
    <w:rsid w:val="00902350"/>
    <w:rsid w:val="0090336B"/>
    <w:rsid w:val="009053AA"/>
    <w:rsid w:val="00906939"/>
    <w:rsid w:val="00910B7D"/>
    <w:rsid w:val="00911DFB"/>
    <w:rsid w:val="009139D9"/>
    <w:rsid w:val="00914AD8"/>
    <w:rsid w:val="009150B8"/>
    <w:rsid w:val="00916079"/>
    <w:rsid w:val="00917CE9"/>
    <w:rsid w:val="00920BF2"/>
    <w:rsid w:val="00922010"/>
    <w:rsid w:val="00931BD9"/>
    <w:rsid w:val="00934676"/>
    <w:rsid w:val="009368F3"/>
    <w:rsid w:val="00936F6C"/>
    <w:rsid w:val="00941636"/>
    <w:rsid w:val="00943742"/>
    <w:rsid w:val="00944733"/>
    <w:rsid w:val="00945C05"/>
    <w:rsid w:val="00946945"/>
    <w:rsid w:val="00947713"/>
    <w:rsid w:val="00950DE7"/>
    <w:rsid w:val="009531C1"/>
    <w:rsid w:val="00953920"/>
    <w:rsid w:val="00953D47"/>
    <w:rsid w:val="0095681E"/>
    <w:rsid w:val="009572D4"/>
    <w:rsid w:val="009577DD"/>
    <w:rsid w:val="00961921"/>
    <w:rsid w:val="0096430A"/>
    <w:rsid w:val="0096554B"/>
    <w:rsid w:val="0096584A"/>
    <w:rsid w:val="00971F08"/>
    <w:rsid w:val="0097603D"/>
    <w:rsid w:val="00976949"/>
    <w:rsid w:val="00980477"/>
    <w:rsid w:val="00980A70"/>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F9"/>
    <w:rsid w:val="009B7E87"/>
    <w:rsid w:val="009C0169"/>
    <w:rsid w:val="009C403E"/>
    <w:rsid w:val="009C7574"/>
    <w:rsid w:val="009D4FF0"/>
    <w:rsid w:val="009D703C"/>
    <w:rsid w:val="009D718F"/>
    <w:rsid w:val="009E068F"/>
    <w:rsid w:val="009E14E0"/>
    <w:rsid w:val="009E35DB"/>
    <w:rsid w:val="009E47A3"/>
    <w:rsid w:val="009E60EE"/>
    <w:rsid w:val="009F08F3"/>
    <w:rsid w:val="009F344F"/>
    <w:rsid w:val="009F5C7D"/>
    <w:rsid w:val="00A031D8"/>
    <w:rsid w:val="00A048A8"/>
    <w:rsid w:val="00A04F49"/>
    <w:rsid w:val="00A113EA"/>
    <w:rsid w:val="00A13E54"/>
    <w:rsid w:val="00A17F63"/>
    <w:rsid w:val="00A2193B"/>
    <w:rsid w:val="00A2351A"/>
    <w:rsid w:val="00A264A9"/>
    <w:rsid w:val="00A26DCF"/>
    <w:rsid w:val="00A27785"/>
    <w:rsid w:val="00A30187"/>
    <w:rsid w:val="00A3320C"/>
    <w:rsid w:val="00A3448A"/>
    <w:rsid w:val="00A3598C"/>
    <w:rsid w:val="00A36297"/>
    <w:rsid w:val="00A41E2B"/>
    <w:rsid w:val="00A42F73"/>
    <w:rsid w:val="00A441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82D"/>
    <w:rsid w:val="00AC2ECD"/>
    <w:rsid w:val="00AC3119"/>
    <w:rsid w:val="00AC49FB"/>
    <w:rsid w:val="00AC5A10"/>
    <w:rsid w:val="00AC60BA"/>
    <w:rsid w:val="00AD0AA3"/>
    <w:rsid w:val="00AD3B91"/>
    <w:rsid w:val="00AD3F94"/>
    <w:rsid w:val="00AD4A5A"/>
    <w:rsid w:val="00AE27AC"/>
    <w:rsid w:val="00AE40E0"/>
    <w:rsid w:val="00AE4DBA"/>
    <w:rsid w:val="00AE4F07"/>
    <w:rsid w:val="00AF18D0"/>
    <w:rsid w:val="00AF1C5D"/>
    <w:rsid w:val="00AF42D7"/>
    <w:rsid w:val="00AF5E69"/>
    <w:rsid w:val="00B006FE"/>
    <w:rsid w:val="00B007CB"/>
    <w:rsid w:val="00B010AB"/>
    <w:rsid w:val="00B02AA9"/>
    <w:rsid w:val="00B02FA3"/>
    <w:rsid w:val="00B05084"/>
    <w:rsid w:val="00B157F9"/>
    <w:rsid w:val="00B20256"/>
    <w:rsid w:val="00B20D09"/>
    <w:rsid w:val="00B22DE8"/>
    <w:rsid w:val="00B2763F"/>
    <w:rsid w:val="00B27AAC"/>
    <w:rsid w:val="00B30929"/>
    <w:rsid w:val="00B34150"/>
    <w:rsid w:val="00B36BD4"/>
    <w:rsid w:val="00B372AA"/>
    <w:rsid w:val="00B40445"/>
    <w:rsid w:val="00B409E0"/>
    <w:rsid w:val="00B41888"/>
    <w:rsid w:val="00B45A52"/>
    <w:rsid w:val="00B46175"/>
    <w:rsid w:val="00B548B7"/>
    <w:rsid w:val="00B664C7"/>
    <w:rsid w:val="00B739F6"/>
    <w:rsid w:val="00B75BE3"/>
    <w:rsid w:val="00B777A6"/>
    <w:rsid w:val="00B81A6C"/>
    <w:rsid w:val="00B85DE5"/>
    <w:rsid w:val="00B90F73"/>
    <w:rsid w:val="00B93B59"/>
    <w:rsid w:val="00B9406A"/>
    <w:rsid w:val="00B966EE"/>
    <w:rsid w:val="00BA2280"/>
    <w:rsid w:val="00BA2A08"/>
    <w:rsid w:val="00BA3206"/>
    <w:rsid w:val="00BA56D2"/>
    <w:rsid w:val="00BA76E0"/>
    <w:rsid w:val="00BA7DBC"/>
    <w:rsid w:val="00BB2A25"/>
    <w:rsid w:val="00BB51E9"/>
    <w:rsid w:val="00BC0FDC"/>
    <w:rsid w:val="00BC3053"/>
    <w:rsid w:val="00BC3586"/>
    <w:rsid w:val="00BC4D2E"/>
    <w:rsid w:val="00BD0B3E"/>
    <w:rsid w:val="00BD14F0"/>
    <w:rsid w:val="00BD48AC"/>
    <w:rsid w:val="00BD5F1A"/>
    <w:rsid w:val="00BE1234"/>
    <w:rsid w:val="00BE2FA6"/>
    <w:rsid w:val="00BE333F"/>
    <w:rsid w:val="00BE7406"/>
    <w:rsid w:val="00BE7603"/>
    <w:rsid w:val="00BF3279"/>
    <w:rsid w:val="00BF74C7"/>
    <w:rsid w:val="00C015F1"/>
    <w:rsid w:val="00C0180B"/>
    <w:rsid w:val="00C01F33"/>
    <w:rsid w:val="00C02CC6"/>
    <w:rsid w:val="00C040F7"/>
    <w:rsid w:val="00C044AB"/>
    <w:rsid w:val="00C05706"/>
    <w:rsid w:val="00C07377"/>
    <w:rsid w:val="00C10478"/>
    <w:rsid w:val="00C12107"/>
    <w:rsid w:val="00C13BB4"/>
    <w:rsid w:val="00C14D4B"/>
    <w:rsid w:val="00C151D1"/>
    <w:rsid w:val="00C154BB"/>
    <w:rsid w:val="00C179CA"/>
    <w:rsid w:val="00C21B30"/>
    <w:rsid w:val="00C23A91"/>
    <w:rsid w:val="00C26752"/>
    <w:rsid w:val="00C268E6"/>
    <w:rsid w:val="00C279B5"/>
    <w:rsid w:val="00C27C45"/>
    <w:rsid w:val="00C3099D"/>
    <w:rsid w:val="00C31D12"/>
    <w:rsid w:val="00C336F1"/>
    <w:rsid w:val="00C3719D"/>
    <w:rsid w:val="00C37B76"/>
    <w:rsid w:val="00C37CB2"/>
    <w:rsid w:val="00C4456E"/>
    <w:rsid w:val="00C473A5"/>
    <w:rsid w:val="00C52D84"/>
    <w:rsid w:val="00C54995"/>
    <w:rsid w:val="00C54D41"/>
    <w:rsid w:val="00C55026"/>
    <w:rsid w:val="00C60783"/>
    <w:rsid w:val="00C64672"/>
    <w:rsid w:val="00C70697"/>
    <w:rsid w:val="00C70F42"/>
    <w:rsid w:val="00C72093"/>
    <w:rsid w:val="00C72B82"/>
    <w:rsid w:val="00C72EF4"/>
    <w:rsid w:val="00C743A2"/>
    <w:rsid w:val="00C744FE"/>
    <w:rsid w:val="00C75D2F"/>
    <w:rsid w:val="00C767BE"/>
    <w:rsid w:val="00C76E3C"/>
    <w:rsid w:val="00C77D26"/>
    <w:rsid w:val="00C81568"/>
    <w:rsid w:val="00C9027A"/>
    <w:rsid w:val="00C9068E"/>
    <w:rsid w:val="00C93814"/>
    <w:rsid w:val="00C93C4B"/>
    <w:rsid w:val="00C944AB"/>
    <w:rsid w:val="00C95B40"/>
    <w:rsid w:val="00CA1ED8"/>
    <w:rsid w:val="00CA5D4C"/>
    <w:rsid w:val="00CB1F63"/>
    <w:rsid w:val="00CB415A"/>
    <w:rsid w:val="00CB7170"/>
    <w:rsid w:val="00CC040E"/>
    <w:rsid w:val="00CC111F"/>
    <w:rsid w:val="00CC2011"/>
    <w:rsid w:val="00CC3EA0"/>
    <w:rsid w:val="00CC5C02"/>
    <w:rsid w:val="00CC7B45"/>
    <w:rsid w:val="00CD1188"/>
    <w:rsid w:val="00CD2ED1"/>
    <w:rsid w:val="00CD337B"/>
    <w:rsid w:val="00CE0424"/>
    <w:rsid w:val="00CE7561"/>
    <w:rsid w:val="00CF1354"/>
    <w:rsid w:val="00CF3B1F"/>
    <w:rsid w:val="00CF3BF6"/>
    <w:rsid w:val="00CF3E9C"/>
    <w:rsid w:val="00CF4F19"/>
    <w:rsid w:val="00CF625B"/>
    <w:rsid w:val="00CF687E"/>
    <w:rsid w:val="00D0349B"/>
    <w:rsid w:val="00D10249"/>
    <w:rsid w:val="00D1034E"/>
    <w:rsid w:val="00D115C3"/>
    <w:rsid w:val="00D11897"/>
    <w:rsid w:val="00D13135"/>
    <w:rsid w:val="00D13E4E"/>
    <w:rsid w:val="00D21761"/>
    <w:rsid w:val="00D239A7"/>
    <w:rsid w:val="00D23F47"/>
    <w:rsid w:val="00D261DB"/>
    <w:rsid w:val="00D30988"/>
    <w:rsid w:val="00D36E71"/>
    <w:rsid w:val="00D37D87"/>
    <w:rsid w:val="00D40B33"/>
    <w:rsid w:val="00D4318F"/>
    <w:rsid w:val="00D438BF"/>
    <w:rsid w:val="00D440F8"/>
    <w:rsid w:val="00D546FF"/>
    <w:rsid w:val="00D55AD5"/>
    <w:rsid w:val="00D576CA"/>
    <w:rsid w:val="00D61AF5"/>
    <w:rsid w:val="00D64E72"/>
    <w:rsid w:val="00D652B5"/>
    <w:rsid w:val="00D66155"/>
    <w:rsid w:val="00D708B0"/>
    <w:rsid w:val="00D77B1D"/>
    <w:rsid w:val="00D8021F"/>
    <w:rsid w:val="00D80383"/>
    <w:rsid w:val="00D823C6"/>
    <w:rsid w:val="00D8327F"/>
    <w:rsid w:val="00D86CA3"/>
    <w:rsid w:val="00D871CE"/>
    <w:rsid w:val="00D87B3D"/>
    <w:rsid w:val="00D9196D"/>
    <w:rsid w:val="00D92982"/>
    <w:rsid w:val="00D97238"/>
    <w:rsid w:val="00DA305E"/>
    <w:rsid w:val="00DA5417"/>
    <w:rsid w:val="00DA56E8"/>
    <w:rsid w:val="00DB0A9F"/>
    <w:rsid w:val="00DB377D"/>
    <w:rsid w:val="00DC2D36"/>
    <w:rsid w:val="00DC53EF"/>
    <w:rsid w:val="00DD3B1E"/>
    <w:rsid w:val="00DE5608"/>
    <w:rsid w:val="00DE58D0"/>
    <w:rsid w:val="00DE654F"/>
    <w:rsid w:val="00DF0B6E"/>
    <w:rsid w:val="00DF15E0"/>
    <w:rsid w:val="00DF173F"/>
    <w:rsid w:val="00DF37A0"/>
    <w:rsid w:val="00E04683"/>
    <w:rsid w:val="00E0524A"/>
    <w:rsid w:val="00E110E7"/>
    <w:rsid w:val="00E11B20"/>
    <w:rsid w:val="00E17FA2"/>
    <w:rsid w:val="00E209DB"/>
    <w:rsid w:val="00E21B64"/>
    <w:rsid w:val="00E22330"/>
    <w:rsid w:val="00E27828"/>
    <w:rsid w:val="00E30B5A"/>
    <w:rsid w:val="00E3123D"/>
    <w:rsid w:val="00E31461"/>
    <w:rsid w:val="00E31D43"/>
    <w:rsid w:val="00E32608"/>
    <w:rsid w:val="00E34188"/>
    <w:rsid w:val="00E34B6E"/>
    <w:rsid w:val="00E35559"/>
    <w:rsid w:val="00E35CF7"/>
    <w:rsid w:val="00E3723A"/>
    <w:rsid w:val="00E37860"/>
    <w:rsid w:val="00E446F1"/>
    <w:rsid w:val="00E46886"/>
    <w:rsid w:val="00E47AEF"/>
    <w:rsid w:val="00E53B75"/>
    <w:rsid w:val="00E54E3B"/>
    <w:rsid w:val="00E57565"/>
    <w:rsid w:val="00E63838"/>
    <w:rsid w:val="00E64434"/>
    <w:rsid w:val="00E67C51"/>
    <w:rsid w:val="00E72EFC"/>
    <w:rsid w:val="00E7311A"/>
    <w:rsid w:val="00E731BC"/>
    <w:rsid w:val="00E758EC"/>
    <w:rsid w:val="00E8234C"/>
    <w:rsid w:val="00E83AA9"/>
    <w:rsid w:val="00E854B6"/>
    <w:rsid w:val="00E85928"/>
    <w:rsid w:val="00E87822"/>
    <w:rsid w:val="00E90395"/>
    <w:rsid w:val="00E90E49"/>
    <w:rsid w:val="00E917F9"/>
    <w:rsid w:val="00E9291C"/>
    <w:rsid w:val="00E93FFE"/>
    <w:rsid w:val="00E94F8A"/>
    <w:rsid w:val="00EA107A"/>
    <w:rsid w:val="00EA7A0E"/>
    <w:rsid w:val="00EA7A41"/>
    <w:rsid w:val="00EB011E"/>
    <w:rsid w:val="00EB077B"/>
    <w:rsid w:val="00EB1CF1"/>
    <w:rsid w:val="00EB4EA2"/>
    <w:rsid w:val="00EC0C2A"/>
    <w:rsid w:val="00EC24D5"/>
    <w:rsid w:val="00EC27C6"/>
    <w:rsid w:val="00EC29ED"/>
    <w:rsid w:val="00EC4207"/>
    <w:rsid w:val="00EC5653"/>
    <w:rsid w:val="00EC71CE"/>
    <w:rsid w:val="00ED1006"/>
    <w:rsid w:val="00ED42C4"/>
    <w:rsid w:val="00EF09D4"/>
    <w:rsid w:val="00EF18FE"/>
    <w:rsid w:val="00EF5787"/>
    <w:rsid w:val="00EF60D0"/>
    <w:rsid w:val="00F01EB7"/>
    <w:rsid w:val="00F0528D"/>
    <w:rsid w:val="00F06C67"/>
    <w:rsid w:val="00F06DFD"/>
    <w:rsid w:val="00F071D1"/>
    <w:rsid w:val="00F07533"/>
    <w:rsid w:val="00F10629"/>
    <w:rsid w:val="00F15FA5"/>
    <w:rsid w:val="00F171A4"/>
    <w:rsid w:val="00F209B7"/>
    <w:rsid w:val="00F20F5C"/>
    <w:rsid w:val="00F2376F"/>
    <w:rsid w:val="00F243D8"/>
    <w:rsid w:val="00F30828"/>
    <w:rsid w:val="00F313D6"/>
    <w:rsid w:val="00F31AE1"/>
    <w:rsid w:val="00F40F0C"/>
    <w:rsid w:val="00F4766C"/>
    <w:rsid w:val="00F476CB"/>
    <w:rsid w:val="00F5060E"/>
    <w:rsid w:val="00F507D1"/>
    <w:rsid w:val="00F519CE"/>
    <w:rsid w:val="00F51ADA"/>
    <w:rsid w:val="00F52A88"/>
    <w:rsid w:val="00F55E24"/>
    <w:rsid w:val="00F5651E"/>
    <w:rsid w:val="00F60043"/>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DF2"/>
    <w:rsid w:val="00F92782"/>
    <w:rsid w:val="00F93AA9"/>
    <w:rsid w:val="00F96985"/>
    <w:rsid w:val="00F97838"/>
    <w:rsid w:val="00FA15E8"/>
    <w:rsid w:val="00FA226C"/>
    <w:rsid w:val="00FA2BB3"/>
    <w:rsid w:val="00FA67BC"/>
    <w:rsid w:val="00FB4C80"/>
    <w:rsid w:val="00FB6A6A"/>
    <w:rsid w:val="00FC31EC"/>
    <w:rsid w:val="00FC7429"/>
    <w:rsid w:val="00FD07F6"/>
    <w:rsid w:val="00FD1EC8"/>
    <w:rsid w:val="00FD47ED"/>
    <w:rsid w:val="00FD74DB"/>
    <w:rsid w:val="00FD7660"/>
    <w:rsid w:val="00FE0655"/>
    <w:rsid w:val="00FE2365"/>
    <w:rsid w:val="00FE36F3"/>
    <w:rsid w:val="00FE37D7"/>
    <w:rsid w:val="00FE4C7B"/>
    <w:rsid w:val="00FE7336"/>
    <w:rsid w:val="00FE787C"/>
    <w:rsid w:val="00FF322A"/>
    <w:rsid w:val="00FF45A5"/>
    <w:rsid w:val="00FF5247"/>
    <w:rsid w:val="00FF5C91"/>
    <w:rsid w:val="06BEFC16"/>
    <w:rsid w:val="23F46A58"/>
    <w:rsid w:val="4EB9761D"/>
    <w:rsid w:val="64E82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5F4E"/>
  <w15:chartTrackingRefBased/>
  <w15:docId w15:val="{A8E3B1DD-B789-4A7D-85E7-E7417410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AC60BA"/>
    <w:rPr>
      <w:rFonts w:ascii="Arial" w:hAnsi="Arial" w:cs="Arial"/>
      <w:spacing w:val="2"/>
    </w:rPr>
  </w:style>
  <w:style w:type="paragraph" w:customStyle="1" w:styleId="IvDbodytext">
    <w:name w:val="IvD bodytext"/>
    <w:basedOn w:val="BodyText"/>
    <w:link w:val="IvDbodytextChar"/>
    <w:qFormat/>
    <w:rsid w:val="00AC60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5502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550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B1Char">
    <w:name w:val="B1 Char"/>
    <w:locked/>
    <w:rsid w:val="007826FE"/>
    <w:rPr>
      <w:rFonts w:ascii="Times New Roman"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3681">
      <w:bodyDiv w:val="1"/>
      <w:marLeft w:val="0"/>
      <w:marRight w:val="0"/>
      <w:marTop w:val="0"/>
      <w:marBottom w:val="0"/>
      <w:divBdr>
        <w:top w:val="none" w:sz="0" w:space="0" w:color="auto"/>
        <w:left w:val="none" w:sz="0" w:space="0" w:color="auto"/>
        <w:bottom w:val="none" w:sz="0" w:space="0" w:color="auto"/>
        <w:right w:val="none" w:sz="0" w:space="0" w:color="auto"/>
      </w:divBdr>
    </w:div>
    <w:div w:id="377096639">
      <w:bodyDiv w:val="1"/>
      <w:marLeft w:val="0"/>
      <w:marRight w:val="0"/>
      <w:marTop w:val="0"/>
      <w:marBottom w:val="0"/>
      <w:divBdr>
        <w:top w:val="none" w:sz="0" w:space="0" w:color="auto"/>
        <w:left w:val="none" w:sz="0" w:space="0" w:color="auto"/>
        <w:bottom w:val="none" w:sz="0" w:space="0" w:color="auto"/>
        <w:right w:val="none" w:sz="0" w:space="0" w:color="auto"/>
      </w:divBdr>
    </w:div>
    <w:div w:id="901065345">
      <w:bodyDiv w:val="1"/>
      <w:marLeft w:val="0"/>
      <w:marRight w:val="0"/>
      <w:marTop w:val="0"/>
      <w:marBottom w:val="0"/>
      <w:divBdr>
        <w:top w:val="none" w:sz="0" w:space="0" w:color="auto"/>
        <w:left w:val="none" w:sz="0" w:space="0" w:color="auto"/>
        <w:bottom w:val="none" w:sz="0" w:space="0" w:color="auto"/>
        <w:right w:val="none" w:sz="0" w:space="0" w:color="auto"/>
      </w:divBdr>
    </w:div>
    <w:div w:id="1162546595">
      <w:bodyDiv w:val="1"/>
      <w:marLeft w:val="0"/>
      <w:marRight w:val="0"/>
      <w:marTop w:val="0"/>
      <w:marBottom w:val="0"/>
      <w:divBdr>
        <w:top w:val="none" w:sz="0" w:space="0" w:color="auto"/>
        <w:left w:val="none" w:sz="0" w:space="0" w:color="auto"/>
        <w:bottom w:val="none" w:sz="0" w:space="0" w:color="auto"/>
        <w:right w:val="none" w:sz="0" w:space="0" w:color="auto"/>
      </w:divBdr>
    </w:div>
    <w:div w:id="1307396356">
      <w:bodyDiv w:val="1"/>
      <w:marLeft w:val="0"/>
      <w:marRight w:val="0"/>
      <w:marTop w:val="0"/>
      <w:marBottom w:val="0"/>
      <w:divBdr>
        <w:top w:val="none" w:sz="0" w:space="0" w:color="auto"/>
        <w:left w:val="none" w:sz="0" w:space="0" w:color="auto"/>
        <w:bottom w:val="none" w:sz="0" w:space="0" w:color="auto"/>
        <w:right w:val="none" w:sz="0" w:space="0" w:color="auto"/>
      </w:divBdr>
    </w:div>
    <w:div w:id="1542673685">
      <w:bodyDiv w:val="1"/>
      <w:marLeft w:val="0"/>
      <w:marRight w:val="0"/>
      <w:marTop w:val="0"/>
      <w:marBottom w:val="0"/>
      <w:divBdr>
        <w:top w:val="none" w:sz="0" w:space="0" w:color="auto"/>
        <w:left w:val="none" w:sz="0" w:space="0" w:color="auto"/>
        <w:bottom w:val="none" w:sz="0" w:space="0" w:color="auto"/>
        <w:right w:val="none" w:sz="0" w:space="0" w:color="auto"/>
      </w:divBdr>
    </w:div>
    <w:div w:id="1605963434">
      <w:bodyDiv w:val="1"/>
      <w:marLeft w:val="0"/>
      <w:marRight w:val="0"/>
      <w:marTop w:val="0"/>
      <w:marBottom w:val="0"/>
      <w:divBdr>
        <w:top w:val="none" w:sz="0" w:space="0" w:color="auto"/>
        <w:left w:val="none" w:sz="0" w:space="0" w:color="auto"/>
        <w:bottom w:val="none" w:sz="0" w:space="0" w:color="auto"/>
        <w:right w:val="none" w:sz="0" w:space="0" w:color="auto"/>
      </w:divBdr>
      <w:divsChild>
        <w:div w:id="198202405">
          <w:marLeft w:val="288"/>
          <w:marRight w:val="0"/>
          <w:marTop w:val="160"/>
          <w:marBottom w:val="0"/>
          <w:divBdr>
            <w:top w:val="none" w:sz="0" w:space="0" w:color="auto"/>
            <w:left w:val="none" w:sz="0" w:space="0" w:color="auto"/>
            <w:bottom w:val="none" w:sz="0" w:space="0" w:color="auto"/>
            <w:right w:val="none" w:sz="0" w:space="0" w:color="auto"/>
          </w:divBdr>
        </w:div>
        <w:div w:id="1171483891">
          <w:marLeft w:val="288"/>
          <w:marRight w:val="0"/>
          <w:marTop w:val="160"/>
          <w:marBottom w:val="0"/>
          <w:divBdr>
            <w:top w:val="none" w:sz="0" w:space="0" w:color="auto"/>
            <w:left w:val="none" w:sz="0" w:space="0" w:color="auto"/>
            <w:bottom w:val="none" w:sz="0" w:space="0" w:color="auto"/>
            <w:right w:val="none" w:sz="0" w:space="0" w:color="auto"/>
          </w:divBdr>
        </w:div>
        <w:div w:id="1763182697">
          <w:marLeft w:val="288"/>
          <w:marRight w:val="0"/>
          <w:marTop w:val="160"/>
          <w:marBottom w:val="0"/>
          <w:divBdr>
            <w:top w:val="none" w:sz="0" w:space="0" w:color="auto"/>
            <w:left w:val="none" w:sz="0" w:space="0" w:color="auto"/>
            <w:bottom w:val="none" w:sz="0" w:space="0" w:color="auto"/>
            <w:right w:val="none" w:sz="0" w:space="0" w:color="auto"/>
          </w:divBdr>
        </w:div>
      </w:divsChild>
    </w:div>
    <w:div w:id="1782383640">
      <w:bodyDiv w:val="1"/>
      <w:marLeft w:val="0"/>
      <w:marRight w:val="0"/>
      <w:marTop w:val="0"/>
      <w:marBottom w:val="0"/>
      <w:divBdr>
        <w:top w:val="none" w:sz="0" w:space="0" w:color="auto"/>
        <w:left w:val="none" w:sz="0" w:space="0" w:color="auto"/>
        <w:bottom w:val="none" w:sz="0" w:space="0" w:color="auto"/>
        <w:right w:val="none" w:sz="0" w:space="0" w:color="auto"/>
      </w:divBdr>
      <w:divsChild>
        <w:div w:id="1883587675">
          <w:marLeft w:val="288"/>
          <w:marRight w:val="0"/>
          <w:marTop w:val="160"/>
          <w:marBottom w:val="0"/>
          <w:divBdr>
            <w:top w:val="none" w:sz="0" w:space="0" w:color="auto"/>
            <w:left w:val="none" w:sz="0" w:space="0" w:color="auto"/>
            <w:bottom w:val="none" w:sz="0" w:space="0" w:color="auto"/>
            <w:right w:val="none" w:sz="0" w:space="0" w:color="auto"/>
          </w:divBdr>
        </w:div>
      </w:divsChild>
    </w:div>
    <w:div w:id="1936983727">
      <w:bodyDiv w:val="1"/>
      <w:marLeft w:val="0"/>
      <w:marRight w:val="0"/>
      <w:marTop w:val="0"/>
      <w:marBottom w:val="0"/>
      <w:divBdr>
        <w:top w:val="none" w:sz="0" w:space="0" w:color="auto"/>
        <w:left w:val="none" w:sz="0" w:space="0" w:color="auto"/>
        <w:bottom w:val="none" w:sz="0" w:space="0" w:color="auto"/>
        <w:right w:val="none" w:sz="0" w:space="0" w:color="auto"/>
      </w:divBdr>
    </w:div>
    <w:div w:id="198007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6A48DD8-35C0-4B16-B757-9176953B9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E971BEC-7806-4C84-BA4E-46EC23DB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TotalTime>
  <Pages>5</Pages>
  <Words>1925</Words>
  <Characters>10205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12106</CharactersWithSpaces>
  <SharedDoc>false</SharedDoc>
  <HLinks>
    <vt:vector size="54" baseType="variant">
      <vt:variant>
        <vt:i4>1179697</vt:i4>
      </vt:variant>
      <vt:variant>
        <vt:i4>29</vt:i4>
      </vt:variant>
      <vt:variant>
        <vt:i4>0</vt:i4>
      </vt:variant>
      <vt:variant>
        <vt:i4>5</vt:i4>
      </vt:variant>
      <vt:variant>
        <vt:lpwstr/>
      </vt:variant>
      <vt:variant>
        <vt:lpwstr>_Toc61205307</vt:lpwstr>
      </vt:variant>
      <vt:variant>
        <vt:i4>1245233</vt:i4>
      </vt:variant>
      <vt:variant>
        <vt:i4>26</vt:i4>
      </vt:variant>
      <vt:variant>
        <vt:i4>0</vt:i4>
      </vt:variant>
      <vt:variant>
        <vt:i4>5</vt:i4>
      </vt:variant>
      <vt:variant>
        <vt:lpwstr/>
      </vt:variant>
      <vt:variant>
        <vt:lpwstr>_Toc61205306</vt:lpwstr>
      </vt:variant>
      <vt:variant>
        <vt:i4>1048625</vt:i4>
      </vt:variant>
      <vt:variant>
        <vt:i4>23</vt:i4>
      </vt:variant>
      <vt:variant>
        <vt:i4>0</vt:i4>
      </vt:variant>
      <vt:variant>
        <vt:i4>5</vt:i4>
      </vt:variant>
      <vt:variant>
        <vt:lpwstr/>
      </vt:variant>
      <vt:variant>
        <vt:lpwstr>_Toc61205305</vt:lpwstr>
      </vt:variant>
      <vt:variant>
        <vt:i4>1114161</vt:i4>
      </vt:variant>
      <vt:variant>
        <vt:i4>20</vt:i4>
      </vt:variant>
      <vt:variant>
        <vt:i4>0</vt:i4>
      </vt:variant>
      <vt:variant>
        <vt:i4>5</vt:i4>
      </vt:variant>
      <vt:variant>
        <vt:lpwstr/>
      </vt:variant>
      <vt:variant>
        <vt:lpwstr>_Toc61205304</vt:lpwstr>
      </vt:variant>
      <vt:variant>
        <vt:i4>1441841</vt:i4>
      </vt:variant>
      <vt:variant>
        <vt:i4>17</vt:i4>
      </vt:variant>
      <vt:variant>
        <vt:i4>0</vt:i4>
      </vt:variant>
      <vt:variant>
        <vt:i4>5</vt:i4>
      </vt:variant>
      <vt:variant>
        <vt:lpwstr/>
      </vt:variant>
      <vt:variant>
        <vt:lpwstr>_Toc61205303</vt:lpwstr>
      </vt:variant>
      <vt:variant>
        <vt:i4>1507377</vt:i4>
      </vt:variant>
      <vt:variant>
        <vt:i4>11</vt:i4>
      </vt:variant>
      <vt:variant>
        <vt:i4>0</vt:i4>
      </vt:variant>
      <vt:variant>
        <vt:i4>5</vt:i4>
      </vt:variant>
      <vt:variant>
        <vt:lpwstr/>
      </vt:variant>
      <vt:variant>
        <vt:lpwstr>_Toc61205302</vt:lpwstr>
      </vt:variant>
      <vt:variant>
        <vt:i4>1310769</vt:i4>
      </vt:variant>
      <vt:variant>
        <vt:i4>8</vt:i4>
      </vt:variant>
      <vt:variant>
        <vt:i4>0</vt:i4>
      </vt:variant>
      <vt:variant>
        <vt:i4>5</vt:i4>
      </vt:variant>
      <vt:variant>
        <vt:lpwstr/>
      </vt:variant>
      <vt:variant>
        <vt:lpwstr>_Toc61205301</vt:lpwstr>
      </vt:variant>
      <vt:variant>
        <vt:i4>1376305</vt:i4>
      </vt:variant>
      <vt:variant>
        <vt:i4>5</vt:i4>
      </vt:variant>
      <vt:variant>
        <vt:i4>0</vt:i4>
      </vt:variant>
      <vt:variant>
        <vt:i4>5</vt:i4>
      </vt:variant>
      <vt:variant>
        <vt:lpwstr/>
      </vt:variant>
      <vt:variant>
        <vt:lpwstr>_Toc61205300</vt:lpwstr>
      </vt:variant>
      <vt:variant>
        <vt:i4>1900600</vt:i4>
      </vt:variant>
      <vt:variant>
        <vt:i4>2</vt:i4>
      </vt:variant>
      <vt:variant>
        <vt:i4>0</vt:i4>
      </vt:variant>
      <vt:variant>
        <vt:i4>5</vt:i4>
      </vt:variant>
      <vt:variant>
        <vt:lpwstr/>
      </vt:variant>
      <vt:variant>
        <vt:lpwstr>_Toc61205299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2008-02-01T01:09:00Z</cp:lastPrinted>
  <dcterms:created xsi:type="dcterms:W3CDTF">2021-01-14T21:01:00Z</dcterms:created>
  <dcterms:modified xsi:type="dcterms:W3CDTF">2021-01-14T23:27:00Z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